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E0" w:rsidRDefault="008E5DE0" w:rsidP="008E5DE0">
      <w:pPr>
        <w:ind w:left="284"/>
        <w:jc w:val="right"/>
        <w:rPr>
          <w:b/>
        </w:rPr>
      </w:pPr>
    </w:p>
    <w:p w:rsidR="008E5DE0" w:rsidRDefault="008E5DE0" w:rsidP="008E5DE0">
      <w:pPr>
        <w:rPr>
          <w:b/>
          <w:sz w:val="16"/>
          <w:szCs w:val="16"/>
        </w:rPr>
      </w:pPr>
    </w:p>
    <w:p w:rsidR="008E5DE0" w:rsidRDefault="008E5DE0" w:rsidP="008E5DE0">
      <w:pPr>
        <w:spacing w:after="0" w:line="240" w:lineRule="auto"/>
        <w:ind w:left="1418"/>
        <w:jc w:val="right"/>
        <w:rPr>
          <w:rFonts w:cs="Arial"/>
          <w:color w:val="808080" w:themeColor="background1" w:themeShade="80"/>
          <w:sz w:val="20"/>
          <w:szCs w:val="20"/>
        </w:rPr>
      </w:pPr>
    </w:p>
    <w:p w:rsidR="008E5DE0" w:rsidRDefault="008E5DE0" w:rsidP="008E5DE0">
      <w:pPr>
        <w:spacing w:after="0" w:line="240" w:lineRule="auto"/>
        <w:ind w:left="1418"/>
        <w:jc w:val="right"/>
        <w:rPr>
          <w:rFonts w:cs="Arial"/>
          <w:color w:val="808080" w:themeColor="background1" w:themeShade="80"/>
          <w:sz w:val="20"/>
          <w:szCs w:val="20"/>
        </w:rPr>
      </w:pPr>
    </w:p>
    <w:p w:rsidR="008E5DE0" w:rsidRPr="008D1F1A" w:rsidRDefault="008E5DE0" w:rsidP="008E5DE0">
      <w:pPr>
        <w:rPr>
          <w:rFonts w:eastAsia="Source Sans Pro"/>
          <w:color w:val="808080"/>
          <w:sz w:val="22"/>
          <w:szCs w:val="22"/>
          <w14:numForm w14:val="default"/>
        </w:rPr>
      </w:pPr>
    </w:p>
    <w:p w:rsidR="008E5DE0" w:rsidRPr="008D1F1A" w:rsidRDefault="008E5DE0" w:rsidP="008E5DE0">
      <w:pPr>
        <w:spacing w:after="0" w:line="240" w:lineRule="auto"/>
        <w:ind w:left="2880" w:firstLine="720"/>
        <w:rPr>
          <w:rFonts w:eastAsia="Source Sans Pro"/>
          <w:color w:val="808080"/>
          <w:sz w:val="22"/>
          <w:szCs w:val="22"/>
          <w14:numForm w14:val="default"/>
        </w:rPr>
      </w:pPr>
    </w:p>
    <w:p w:rsidR="008E5DE0" w:rsidRPr="008D1F1A" w:rsidRDefault="008E5DE0" w:rsidP="008E5DE0">
      <w:pPr>
        <w:spacing w:after="0" w:line="240" w:lineRule="auto"/>
        <w:ind w:left="2880" w:firstLine="720"/>
        <w:jc w:val="center"/>
        <w:rPr>
          <w:rFonts w:eastAsia="Source Sans Pro"/>
          <w:color w:val="808080"/>
          <w:sz w:val="22"/>
          <w:szCs w:val="22"/>
          <w14:numForm w14:val="default"/>
        </w:rPr>
      </w:pPr>
    </w:p>
    <w:p w:rsidR="008E5DE0" w:rsidRPr="008D1F1A" w:rsidRDefault="008E5DE0" w:rsidP="008E5DE0">
      <w:pPr>
        <w:spacing w:after="0" w:line="240" w:lineRule="auto"/>
        <w:jc w:val="center"/>
        <w:rPr>
          <w:rFonts w:eastAsia="Source Sans Pro"/>
          <w:b/>
          <w:color w:val="808080"/>
          <w:sz w:val="24"/>
          <w:szCs w:val="22"/>
          <w14:numForm w14:val="default"/>
        </w:rPr>
      </w:pPr>
      <w:r>
        <w:rPr>
          <w:rFonts w:eastAsia="Source Sans Pro"/>
          <w:b/>
          <w:color w:val="808080"/>
          <w:sz w:val="24"/>
          <w:szCs w:val="22"/>
          <w14:numForm w14:val="default"/>
        </w:rPr>
        <w:t>SESIÓN</w:t>
      </w:r>
      <w:r w:rsidRPr="008D1F1A">
        <w:rPr>
          <w:rFonts w:eastAsia="Source Sans Pro"/>
          <w:b/>
          <w:color w:val="808080"/>
          <w:sz w:val="24"/>
          <w:szCs w:val="22"/>
          <w14:numForm w14:val="default"/>
        </w:rPr>
        <w:t xml:space="preserve"> ORDINARIA DE LA ORQUESTA TÍPICA DE LA CIUDAD DE MÉXICO</w:t>
      </w:r>
      <w:r>
        <w:rPr>
          <w:rFonts w:eastAsia="Source Sans Pro"/>
          <w:b/>
          <w:color w:val="808080"/>
          <w:sz w:val="24"/>
          <w:szCs w:val="22"/>
          <w14:numForm w14:val="default"/>
        </w:rPr>
        <w:t>, VIERNES 30 DE SEPTIEMBRE DE 2022</w:t>
      </w:r>
      <w:r w:rsidR="00661C91">
        <w:rPr>
          <w:rFonts w:eastAsia="Source Sans Pro"/>
          <w:b/>
          <w:color w:val="808080"/>
          <w:sz w:val="24"/>
          <w:szCs w:val="22"/>
          <w14:numForm w14:val="default"/>
        </w:rPr>
        <w:t>, 12:00 HORAS</w:t>
      </w:r>
      <w:bookmarkStart w:id="0" w:name="_GoBack"/>
      <w:bookmarkEnd w:id="0"/>
    </w:p>
    <w:p w:rsidR="008E5DE0" w:rsidRPr="008D1F1A" w:rsidRDefault="008E5DE0" w:rsidP="008E5DE0">
      <w:pPr>
        <w:spacing w:after="0" w:line="240" w:lineRule="auto"/>
        <w:ind w:left="2880" w:firstLine="720"/>
        <w:jc w:val="center"/>
        <w:rPr>
          <w:rFonts w:eastAsia="Source Sans Pro"/>
          <w:b/>
          <w:color w:val="808080"/>
          <w:sz w:val="24"/>
          <w:szCs w:val="22"/>
          <w14:numForm w14:val="default"/>
        </w:rPr>
      </w:pPr>
    </w:p>
    <w:p w:rsidR="008E5DE0" w:rsidRPr="008D1F1A" w:rsidRDefault="008E5DE0" w:rsidP="008E5DE0">
      <w:pPr>
        <w:spacing w:after="0" w:line="240" w:lineRule="auto"/>
        <w:ind w:left="2880" w:firstLine="720"/>
        <w:rPr>
          <w:rFonts w:eastAsia="Source Sans Pro"/>
          <w:b/>
          <w:color w:val="808080"/>
          <w:sz w:val="24"/>
          <w:szCs w:val="22"/>
          <w14:numForm w14:val="default"/>
        </w:rPr>
      </w:pPr>
      <w:r w:rsidRPr="008D1F1A">
        <w:rPr>
          <w:rFonts w:eastAsia="Source Sans Pro"/>
          <w:b/>
          <w:color w:val="808080"/>
          <w:sz w:val="24"/>
          <w:szCs w:val="22"/>
          <w14:numForm w14:val="default"/>
        </w:rPr>
        <w:t>ORDEN DEL  DÍA.</w:t>
      </w:r>
    </w:p>
    <w:p w:rsidR="008E5DE0" w:rsidRPr="008D1F1A" w:rsidRDefault="008E5DE0" w:rsidP="008E5DE0">
      <w:pPr>
        <w:spacing w:after="0" w:line="240" w:lineRule="auto"/>
        <w:rPr>
          <w:rFonts w:eastAsia="Source Sans Pro"/>
          <w:color w:val="808080"/>
          <w:sz w:val="22"/>
          <w:szCs w:val="22"/>
          <w14:numForm w14:val="default"/>
        </w:rPr>
      </w:pPr>
    </w:p>
    <w:p w:rsidR="008E5DE0" w:rsidRPr="008D1F1A" w:rsidRDefault="008E5DE0" w:rsidP="008E5DE0">
      <w:pPr>
        <w:spacing w:after="0" w:line="480" w:lineRule="auto"/>
        <w:ind w:left="2880" w:firstLine="720"/>
        <w:rPr>
          <w:rFonts w:eastAsia="Source Sans Pro"/>
          <w:color w:val="808080"/>
          <w:sz w:val="24"/>
          <w:szCs w:val="22"/>
          <w14:numForm w14:val="default"/>
        </w:rPr>
      </w:pPr>
    </w:p>
    <w:p w:rsidR="008E5DE0" w:rsidRPr="008D1F1A" w:rsidRDefault="008E5DE0" w:rsidP="008E5DE0">
      <w:pPr>
        <w:numPr>
          <w:ilvl w:val="0"/>
          <w:numId w:val="1"/>
        </w:numPr>
        <w:spacing w:after="0" w:line="480" w:lineRule="auto"/>
        <w:contextualSpacing/>
        <w:rPr>
          <w:rFonts w:eastAsia="Source Sans Pro"/>
          <w:color w:val="808080"/>
          <w:sz w:val="24"/>
          <w:szCs w:val="22"/>
          <w14:numForm w14:val="default"/>
        </w:rPr>
      </w:pPr>
      <w:r>
        <w:rPr>
          <w:rFonts w:eastAsia="Source Sans Pro"/>
          <w:color w:val="808080"/>
          <w:sz w:val="24"/>
          <w:szCs w:val="22"/>
          <w14:numForm w14:val="default"/>
        </w:rPr>
        <w:t xml:space="preserve">Bienvenida a </w:t>
      </w:r>
      <w:r w:rsidRPr="008D1F1A">
        <w:rPr>
          <w:rFonts w:eastAsia="Source Sans Pro"/>
          <w:color w:val="808080"/>
          <w:sz w:val="24"/>
          <w:szCs w:val="22"/>
          <w14:numForm w14:val="default"/>
        </w:rPr>
        <w:t>c</w:t>
      </w:r>
      <w:r>
        <w:rPr>
          <w:rFonts w:eastAsia="Source Sans Pro"/>
          <w:color w:val="808080"/>
          <w:sz w:val="24"/>
          <w:szCs w:val="22"/>
          <w14:numForm w14:val="default"/>
        </w:rPr>
        <w:t>argo del Lic. Francisco Javier Martínez Ramírez</w:t>
      </w:r>
      <w:r w:rsidRPr="008D1F1A">
        <w:rPr>
          <w:rFonts w:eastAsia="Source Sans Pro"/>
          <w:color w:val="808080"/>
          <w:sz w:val="24"/>
          <w:szCs w:val="22"/>
          <w14:numForm w14:val="default"/>
        </w:rPr>
        <w:t xml:space="preserve">, Director General de Patrimonio Histórico, Artístico y Cultural. </w:t>
      </w:r>
    </w:p>
    <w:p w:rsidR="008E5DE0" w:rsidRPr="008D1F1A" w:rsidRDefault="008E5DE0" w:rsidP="008E5DE0">
      <w:pPr>
        <w:numPr>
          <w:ilvl w:val="0"/>
          <w:numId w:val="1"/>
        </w:numPr>
        <w:spacing w:after="0" w:line="480" w:lineRule="auto"/>
        <w:contextualSpacing/>
        <w:rPr>
          <w:rFonts w:eastAsia="Source Sans Pro"/>
          <w:color w:val="808080"/>
          <w:sz w:val="24"/>
          <w:szCs w:val="22"/>
          <w14:numForm w14:val="default"/>
        </w:rPr>
      </w:pPr>
      <w:r w:rsidRPr="008D1F1A">
        <w:rPr>
          <w:rFonts w:eastAsia="Source Sans Pro"/>
          <w:color w:val="808080"/>
          <w:sz w:val="24"/>
          <w:szCs w:val="22"/>
          <w14:numForm w14:val="default"/>
        </w:rPr>
        <w:t>Lista de asistencia</w:t>
      </w:r>
      <w:r w:rsidRPr="008D1F1A">
        <w:rPr>
          <w:rFonts w:eastAsia="Source Sans Pro"/>
          <w:i/>
          <w:color w:val="808080"/>
          <w:sz w:val="24"/>
          <w:szCs w:val="22"/>
          <w14:numForm w14:val="default"/>
        </w:rPr>
        <w:t>.</w:t>
      </w:r>
      <w:r w:rsidRPr="008D1F1A">
        <w:rPr>
          <w:rFonts w:eastAsia="Source Sans Pro"/>
          <w:color w:val="808080"/>
          <w:sz w:val="24"/>
          <w:szCs w:val="22"/>
          <w14:numForm w14:val="default"/>
        </w:rPr>
        <w:t xml:space="preserve"> </w:t>
      </w:r>
    </w:p>
    <w:p w:rsidR="008E5DE0" w:rsidRDefault="008E5DE0" w:rsidP="008E5DE0">
      <w:pPr>
        <w:numPr>
          <w:ilvl w:val="0"/>
          <w:numId w:val="1"/>
        </w:numPr>
        <w:spacing w:after="0" w:line="480" w:lineRule="auto"/>
        <w:contextualSpacing/>
        <w:rPr>
          <w:rFonts w:eastAsia="Source Sans Pro"/>
          <w:color w:val="808080"/>
          <w:sz w:val="24"/>
          <w:szCs w:val="22"/>
          <w14:numForm w14:val="default"/>
        </w:rPr>
      </w:pPr>
      <w:r>
        <w:rPr>
          <w:rFonts w:eastAsia="Source Sans Pro"/>
          <w:color w:val="808080"/>
          <w:sz w:val="24"/>
          <w:szCs w:val="22"/>
          <w14:numForm w14:val="default"/>
        </w:rPr>
        <w:t>Revisión de propuestas de los nuevos miembros de la Comisión de la OTCM</w:t>
      </w:r>
      <w:r w:rsidRPr="008D1F1A">
        <w:rPr>
          <w:rFonts w:eastAsia="Source Sans Pro"/>
          <w:color w:val="808080"/>
          <w:sz w:val="24"/>
          <w:szCs w:val="22"/>
          <w14:numForm w14:val="default"/>
        </w:rPr>
        <w:t>.</w:t>
      </w:r>
    </w:p>
    <w:p w:rsidR="008E5DE0" w:rsidRDefault="00C207F3" w:rsidP="008E5DE0">
      <w:pPr>
        <w:numPr>
          <w:ilvl w:val="0"/>
          <w:numId w:val="1"/>
        </w:numPr>
        <w:spacing w:after="0" w:line="480" w:lineRule="auto"/>
        <w:contextualSpacing/>
        <w:rPr>
          <w:rFonts w:eastAsia="Source Sans Pro"/>
          <w:color w:val="808080"/>
          <w:sz w:val="24"/>
          <w:szCs w:val="22"/>
          <w14:numForm w14:val="default"/>
        </w:rPr>
      </w:pPr>
      <w:r>
        <w:rPr>
          <w:rFonts w:eastAsia="Source Sans Pro"/>
          <w:color w:val="808080"/>
          <w:sz w:val="24"/>
          <w:szCs w:val="22"/>
          <w14:numForm w14:val="default"/>
        </w:rPr>
        <w:t>Asociación Civil del a OTCM</w:t>
      </w:r>
      <w:r w:rsidR="008E5DE0">
        <w:rPr>
          <w:rFonts w:eastAsia="Source Sans Pro"/>
          <w:color w:val="808080"/>
          <w:sz w:val="24"/>
          <w:szCs w:val="22"/>
          <w14:numForm w14:val="default"/>
        </w:rPr>
        <w:t>.</w:t>
      </w:r>
    </w:p>
    <w:p w:rsidR="008E5DE0" w:rsidRDefault="008E5DE0" w:rsidP="008E5DE0">
      <w:pPr>
        <w:numPr>
          <w:ilvl w:val="0"/>
          <w:numId w:val="1"/>
        </w:numPr>
        <w:spacing w:after="0" w:line="480" w:lineRule="auto"/>
        <w:contextualSpacing/>
        <w:rPr>
          <w:rFonts w:eastAsia="Source Sans Pro"/>
          <w:color w:val="808080"/>
          <w:sz w:val="24"/>
          <w:szCs w:val="22"/>
          <w14:numForm w14:val="default"/>
        </w:rPr>
      </w:pPr>
      <w:r>
        <w:rPr>
          <w:rFonts w:eastAsia="Source Sans Pro"/>
          <w:color w:val="808080"/>
          <w:sz w:val="24"/>
          <w:szCs w:val="22"/>
          <w14:numForm w14:val="default"/>
        </w:rPr>
        <w:t>Revisión de propuestas de vinculación con otras instituciones.</w:t>
      </w:r>
    </w:p>
    <w:p w:rsidR="00AD205D" w:rsidRDefault="00AD205D" w:rsidP="008E5DE0">
      <w:pPr>
        <w:numPr>
          <w:ilvl w:val="0"/>
          <w:numId w:val="1"/>
        </w:numPr>
        <w:spacing w:after="0" w:line="480" w:lineRule="auto"/>
        <w:contextualSpacing/>
        <w:rPr>
          <w:rFonts w:eastAsia="Source Sans Pro"/>
          <w:color w:val="808080"/>
          <w:sz w:val="24"/>
          <w:szCs w:val="22"/>
          <w14:numForm w14:val="default"/>
        </w:rPr>
      </w:pPr>
      <w:r>
        <w:rPr>
          <w:rFonts w:eastAsia="Source Sans Pro"/>
          <w:color w:val="808080"/>
          <w:sz w:val="24"/>
          <w:szCs w:val="22"/>
          <w14:numForm w14:val="default"/>
        </w:rPr>
        <w:t>Reintegración de Comisiones.</w:t>
      </w:r>
    </w:p>
    <w:p w:rsidR="008E5DE0" w:rsidRPr="008D1F1A" w:rsidRDefault="008E5DE0" w:rsidP="008E5DE0">
      <w:pPr>
        <w:numPr>
          <w:ilvl w:val="0"/>
          <w:numId w:val="1"/>
        </w:numPr>
        <w:spacing w:after="0" w:line="480" w:lineRule="auto"/>
        <w:contextualSpacing/>
        <w:rPr>
          <w:rFonts w:eastAsia="Source Sans Pro"/>
          <w:color w:val="808080"/>
          <w:sz w:val="24"/>
          <w:szCs w:val="22"/>
          <w14:numForm w14:val="default"/>
        </w:rPr>
      </w:pPr>
      <w:r w:rsidRPr="008D1F1A">
        <w:rPr>
          <w:rFonts w:eastAsia="Source Sans Pro"/>
          <w:color w:val="808080"/>
          <w:sz w:val="24"/>
          <w:szCs w:val="22"/>
          <w14:numForm w14:val="default"/>
        </w:rPr>
        <w:t>Asuntos Generales</w:t>
      </w:r>
      <w:r w:rsidR="00AD205D">
        <w:rPr>
          <w:rFonts w:eastAsia="Source Sans Pro"/>
          <w:color w:val="808080"/>
          <w:sz w:val="24"/>
          <w:szCs w:val="22"/>
          <w14:numForm w14:val="default"/>
        </w:rPr>
        <w:t>.</w:t>
      </w:r>
    </w:p>
    <w:p w:rsidR="008E5DE0" w:rsidRPr="008D1F1A" w:rsidRDefault="008E5DE0" w:rsidP="008E5DE0">
      <w:pPr>
        <w:numPr>
          <w:ilvl w:val="0"/>
          <w:numId w:val="1"/>
        </w:numPr>
        <w:spacing w:after="0" w:line="480" w:lineRule="auto"/>
        <w:contextualSpacing/>
        <w:rPr>
          <w:rFonts w:eastAsia="Source Sans Pro"/>
          <w:color w:val="808080"/>
          <w:sz w:val="24"/>
          <w:szCs w:val="22"/>
          <w14:numForm w14:val="default"/>
        </w:rPr>
      </w:pPr>
      <w:r w:rsidRPr="008D1F1A">
        <w:rPr>
          <w:rFonts w:eastAsia="Source Sans Pro"/>
          <w:color w:val="808080"/>
          <w:sz w:val="24"/>
          <w:szCs w:val="22"/>
          <w14:numForm w14:val="default"/>
        </w:rPr>
        <w:t>Acuerdos.</w:t>
      </w:r>
    </w:p>
    <w:p w:rsidR="008E5DE0" w:rsidRPr="008D1F1A" w:rsidRDefault="008E5DE0" w:rsidP="008E5DE0">
      <w:pPr>
        <w:rPr>
          <w:rFonts w:ascii="Calibri" w:hAnsi="Calibri" w:cs="Calibri"/>
          <w:color w:val="auto"/>
          <w:sz w:val="22"/>
          <w:szCs w:val="22"/>
          <w14:numForm w14:val="default"/>
        </w:rPr>
      </w:pPr>
    </w:p>
    <w:p w:rsidR="008E5DE0" w:rsidRDefault="008E5DE0" w:rsidP="008E5DE0">
      <w:pPr>
        <w:spacing w:after="0"/>
        <w:ind w:right="-261"/>
        <w:jc w:val="both"/>
        <w:rPr>
          <w:rFonts w:eastAsia="Times New Roman" w:cs="Arial"/>
          <w:b/>
          <w:color w:val="auto"/>
          <w:sz w:val="22"/>
          <w:szCs w:val="22"/>
          <w:lang w:val="pt-BR"/>
          <w14:numForm w14:val="default"/>
        </w:rPr>
      </w:pPr>
    </w:p>
    <w:p w:rsidR="008E5DE0" w:rsidRPr="00666FCD" w:rsidRDefault="008E5DE0" w:rsidP="008E5DE0">
      <w:pPr>
        <w:spacing w:after="0"/>
        <w:ind w:right="-261"/>
        <w:rPr>
          <w:rFonts w:eastAsia="Times New Roman" w:cs="Arial"/>
          <w:bCs/>
          <w:color w:val="auto"/>
          <w:sz w:val="18"/>
          <w:szCs w:val="18"/>
          <w14:numForm w14:val="default"/>
        </w:rPr>
      </w:pPr>
    </w:p>
    <w:p w:rsidR="008E5DE0" w:rsidRPr="00A43522" w:rsidRDefault="008E5DE0" w:rsidP="008E5DE0">
      <w:pPr>
        <w:spacing w:after="0"/>
        <w:ind w:right="-261"/>
        <w:rPr>
          <w:rFonts w:eastAsia="Times New Roman" w:cs="Arial"/>
          <w:bCs/>
          <w:color w:val="auto"/>
          <w:sz w:val="16"/>
          <w:szCs w:val="16"/>
          <w14:numForm w14:val="default"/>
        </w:rPr>
      </w:pPr>
    </w:p>
    <w:p w:rsidR="008E5DE0" w:rsidRDefault="008E5DE0" w:rsidP="008E5DE0"/>
    <w:p w:rsidR="008E5DE0" w:rsidRDefault="008E5DE0" w:rsidP="008E5DE0"/>
    <w:p w:rsidR="003F53BA" w:rsidRDefault="003F53BA"/>
    <w:sectPr w:rsidR="003F53BA" w:rsidSect="000E7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83" w:bottom="1417" w:left="1701" w:header="568" w:footer="5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248" w:rsidRDefault="00452248">
      <w:pPr>
        <w:spacing w:after="0" w:line="240" w:lineRule="auto"/>
      </w:pPr>
      <w:r>
        <w:separator/>
      </w:r>
    </w:p>
  </w:endnote>
  <w:endnote w:type="continuationSeparator" w:id="0">
    <w:p w:rsidR="00452248" w:rsidRDefault="0045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4D" w:rsidRDefault="004522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4D" w:rsidRDefault="008E5DE0" w:rsidP="00AC56E9">
    <w:pPr>
      <w:tabs>
        <w:tab w:val="center" w:pos="4419"/>
        <w:tab w:val="right" w:pos="8838"/>
      </w:tabs>
      <w:spacing w:after="0" w:line="240" w:lineRule="auto"/>
      <w:ind w:left="-709"/>
      <w:rPr>
        <w:rFonts w:eastAsia="Source Sans Pro"/>
        <w:color w:val="80808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6BD6792" wp14:editId="5B3B3935">
          <wp:simplePos x="0" y="0"/>
          <wp:positionH relativeFrom="column">
            <wp:posOffset>4619625</wp:posOffset>
          </wp:positionH>
          <wp:positionV relativeFrom="paragraph">
            <wp:posOffset>-200025</wp:posOffset>
          </wp:positionV>
          <wp:extent cx="1419860" cy="226060"/>
          <wp:effectExtent l="0" t="0" r="8890" b="2540"/>
          <wp:wrapThrough wrapText="bothSides">
            <wp:wrapPolygon edited="0">
              <wp:start x="0" y="0"/>
              <wp:lineTo x="0" y="9101"/>
              <wp:lineTo x="6955" y="20022"/>
              <wp:lineTo x="21445" y="20022"/>
              <wp:lineTo x="21445" y="12742"/>
              <wp:lineTo x="19707" y="0"/>
              <wp:lineTo x="0" y="0"/>
            </wp:wrapPolygon>
          </wp:wrapThrough>
          <wp:docPr id="5" name="Gráfic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arto="http://schemas.microsoft.com/office/word/2006/arto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22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A0E991F" wp14:editId="6D14FF31">
              <wp:simplePos x="0" y="0"/>
              <wp:positionH relativeFrom="column">
                <wp:posOffset>-624205</wp:posOffset>
              </wp:positionH>
              <wp:positionV relativeFrom="paragraph">
                <wp:posOffset>-379730</wp:posOffset>
              </wp:positionV>
              <wp:extent cx="3271520" cy="457200"/>
              <wp:effectExtent l="0" t="0" r="5080" b="0"/>
              <wp:wrapNone/>
              <wp:docPr id="2" name="Rectángul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1520" cy="4572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661" w:rsidRDefault="008E5DE0" w:rsidP="00BF4661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Avenida de la Paz 26,  1</w:t>
                          </w:r>
                          <w:r>
                            <w:rPr>
                              <w:rFonts w:eastAsia="Source Sans Pro"/>
                              <w:color w:val="808080"/>
                              <w:sz w:val="13"/>
                            </w:rPr>
                            <w:t>er</w:t>
                          </w: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Piso, Chimalistac,</w:t>
                          </w:r>
                        </w:p>
                        <w:p w:rsidR="00BF4661" w:rsidRDefault="008E5DE0" w:rsidP="00BF4661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Alcaldía Álvaro Obregón, C.P. 01070, Ciudad de México</w:t>
                          </w:r>
                        </w:p>
                        <w:p w:rsidR="00BF4661" w:rsidRDefault="008E5DE0" w:rsidP="00BF4661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T.  55 1719 3000 ext.1115 y 1117</w:t>
                          </w:r>
                        </w:p>
                        <w:p w:rsidR="003B154D" w:rsidRPr="00AC56E9" w:rsidRDefault="00452248" w:rsidP="00AC56E9">
                          <w:pPr>
                            <w:spacing w:after="0" w:line="240" w:lineRule="auto"/>
                            <w:textDirection w:val="btLr"/>
                            <w:rPr>
                              <w:rFonts w:eastAsia="Source Sans Pro"/>
                              <w:color w:val="8080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0E991F" id="Rectángulo 34" o:spid="_x0000_s1027" style="position:absolute;left:0;text-align:left;margin-left:-49.15pt;margin-top:-29.9pt;width:257.6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" stroked="f">
              <v:textbox inset="2.53958mm,1.2694mm,2.53958mm,1.2694mm">
                <w:txbxContent>
                  <w:p w:rsidR="00BF4661" w:rsidRDefault="008E5DE0" w:rsidP="00BF4661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Avenida de la Paz 26,  1</w:t>
                    </w:r>
                    <w:r>
                      <w:rPr>
                        <w:rFonts w:eastAsia="Source Sans Pro"/>
                        <w:color w:val="808080"/>
                        <w:sz w:val="13"/>
                      </w:rPr>
                      <w:t>er</w:t>
                    </w: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Piso, Chimalistac,</w:t>
                    </w:r>
                  </w:p>
                  <w:p w:rsidR="00BF4661" w:rsidRDefault="008E5DE0" w:rsidP="00BF4661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Alcaldía Álvaro Obregón, C.P. 01070, Ciudad de México</w:t>
                    </w:r>
                  </w:p>
                  <w:p w:rsidR="00BF4661" w:rsidRDefault="008E5DE0" w:rsidP="00BF4661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T.  55 1719 3000 ext.1115 y 1117</w:t>
                    </w:r>
                  </w:p>
                  <w:p w:rsidR="003B154D" w:rsidRPr="00AC56E9" w:rsidRDefault="008E5DE0" w:rsidP="00AC56E9">
                    <w:pPr>
                      <w:spacing w:after="0" w:line="240" w:lineRule="auto"/>
                      <w:textDirection w:val="btLr"/>
                      <w:rPr>
                        <w:rFonts w:eastAsia="Source Sans Pro"/>
                        <w:color w:val="808080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bookmarkStart w:id="1" w:name="_heading=h.gjdgxs" w:colFirst="0" w:colLast="0"/>
    <w:bookmarkEnd w:id="1"/>
    <w:r>
      <w:rPr>
        <w:noProof/>
      </w:rPr>
      <w:t xml:space="preserve">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4D" w:rsidRDefault="004522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248" w:rsidRDefault="00452248">
      <w:pPr>
        <w:spacing w:after="0" w:line="240" w:lineRule="auto"/>
      </w:pPr>
      <w:r>
        <w:separator/>
      </w:r>
    </w:p>
  </w:footnote>
  <w:footnote w:type="continuationSeparator" w:id="0">
    <w:p w:rsidR="00452248" w:rsidRDefault="0045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4D" w:rsidRDefault="004522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4D" w:rsidRPr="006B4B16" w:rsidRDefault="008E5DE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851"/>
      <w:rPr>
        <w:color w:val="808080"/>
        <w:u w:val="single"/>
      </w:rPr>
    </w:pPr>
    <w:r>
      <w:rPr>
        <w:b/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2C01F92" wp14:editId="1F87C768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2571750" cy="704850"/>
              <wp:effectExtent l="0" t="0" r="19050" b="19050"/>
              <wp:wrapSquare wrapText="bothSides"/>
              <wp:docPr id="4" name="Rectángul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515E25" w:rsidRPr="008846C1" w:rsidRDefault="008E5DE0" w:rsidP="00515E25">
                          <w:pPr>
                            <w:spacing w:before="100" w:after="100" w:line="258" w:lineRule="auto"/>
                            <w:ind w:right="-6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Source Sans Pro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              </w:t>
                          </w:r>
                          <w:r w:rsidRPr="008846C1">
                            <w:rPr>
                              <w:rFonts w:eastAsia="Source Sans Pro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SECRETARÍA DE </w:t>
                          </w:r>
                          <w:r>
                            <w:rPr>
                              <w:rFonts w:eastAsia="Source Sans Pro"/>
                              <w:b/>
                              <w:color w:val="808080"/>
                              <w:sz w:val="16"/>
                              <w:szCs w:val="16"/>
                            </w:rPr>
                            <w:t>CULTURA</w:t>
                          </w:r>
                        </w:p>
                        <w:p w:rsidR="00515E25" w:rsidRPr="00335D90" w:rsidRDefault="008E5DE0" w:rsidP="00515E25">
                          <w:pPr>
                            <w:tabs>
                              <w:tab w:val="left" w:pos="426"/>
                            </w:tabs>
                            <w:spacing w:after="0" w:line="240" w:lineRule="auto"/>
                            <w:ind w:left="426" w:right="-6" w:hanging="426"/>
                            <w:textDirection w:val="btLr"/>
                            <w:rPr>
                              <w:rFonts w:eastAsia="Source Sans Pro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 xml:space="preserve">           DIRECCIÓN GENERAL DE PATRIMONIO HISTÓRICO, ARTÍSTICO Y CULTURAL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C01F92" id="Rectángulo 35" o:spid="_x0000_s1026" style="position:absolute;margin-left:151.3pt;margin-top:0;width:202.5pt;height:55.5pt;z-index:251663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" strokecolor="white">
              <v:stroke startarrowwidth="narrow" startarrowlength="short" endarrowwidth="narrow" endarrowlength="short"/>
              <v:textbox inset="2.53958mm,1.2694mm,2.53958mm,1.2694mm">
                <w:txbxContent>
                  <w:p w:rsidR="00515E25" w:rsidRPr="008846C1" w:rsidRDefault="008E5DE0" w:rsidP="00515E25">
                    <w:pPr>
                      <w:spacing w:before="100" w:after="100" w:line="258" w:lineRule="auto"/>
                      <w:ind w:right="-6"/>
                      <w:textDirection w:val="btLr"/>
                      <w:rPr>
                        <w:sz w:val="16"/>
                        <w:szCs w:val="16"/>
                      </w:rPr>
                    </w:pPr>
                    <w:r>
                      <w:rPr>
                        <w:rFonts w:eastAsia="Source Sans Pro"/>
                        <w:b/>
                        <w:color w:val="808080"/>
                        <w:sz w:val="16"/>
                        <w:szCs w:val="16"/>
                      </w:rPr>
                      <w:t xml:space="preserve">              </w:t>
                    </w:r>
                    <w:r w:rsidRPr="008846C1">
                      <w:rPr>
                        <w:rFonts w:eastAsia="Source Sans Pro"/>
                        <w:b/>
                        <w:color w:val="808080"/>
                        <w:sz w:val="16"/>
                        <w:szCs w:val="16"/>
                      </w:rPr>
                      <w:t xml:space="preserve">SECRETARÍA DE </w:t>
                    </w:r>
                    <w:r>
                      <w:rPr>
                        <w:rFonts w:eastAsia="Source Sans Pro"/>
                        <w:b/>
                        <w:color w:val="808080"/>
                        <w:sz w:val="16"/>
                        <w:szCs w:val="16"/>
                      </w:rPr>
                      <w:t>CULTURA</w:t>
                    </w:r>
                  </w:p>
                  <w:p w:rsidR="00515E25" w:rsidRPr="00335D90" w:rsidRDefault="008E5DE0" w:rsidP="00515E25">
                    <w:pPr>
                      <w:tabs>
                        <w:tab w:val="left" w:pos="426"/>
                      </w:tabs>
                      <w:spacing w:after="0" w:line="240" w:lineRule="auto"/>
                      <w:ind w:left="426" w:right="-6" w:hanging="426"/>
                      <w:textDirection w:val="btLr"/>
                      <w:rPr>
                        <w:rFonts w:eastAsia="Source Sans Pro"/>
                        <w:b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 xml:space="preserve">           </w:t>
                    </w:r>
                    <w:r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>DIRECCIÓN GENERAL DE PATRIMONIO HISTÓRICO, ARTÍSTICO Y CULTURAL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rFonts w:eastAsia="Source Sans Pro"/>
        <w:noProof/>
      </w:rPr>
      <w:drawing>
        <wp:anchor distT="0" distB="0" distL="114300" distR="114300" simplePos="0" relativeHeight="251662336" behindDoc="0" locked="0" layoutInCell="1" allowOverlap="1" wp14:anchorId="36F9B06F" wp14:editId="23F26007">
          <wp:simplePos x="0" y="0"/>
          <wp:positionH relativeFrom="margin">
            <wp:posOffset>4269740</wp:posOffset>
          </wp:positionH>
          <wp:positionV relativeFrom="margin">
            <wp:posOffset>248285</wp:posOffset>
          </wp:positionV>
          <wp:extent cx="1687830" cy="802640"/>
          <wp:effectExtent l="0" t="0" r="127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45AADE2" wp14:editId="45CD7990">
          <wp:simplePos x="0" y="0"/>
          <wp:positionH relativeFrom="column">
            <wp:posOffset>-563245</wp:posOffset>
          </wp:positionH>
          <wp:positionV relativeFrom="paragraph">
            <wp:posOffset>-5080</wp:posOffset>
          </wp:positionV>
          <wp:extent cx="2577465" cy="636905"/>
          <wp:effectExtent l="0" t="0" r="0" b="0"/>
          <wp:wrapThrough wrapText="bothSides">
            <wp:wrapPolygon edited="0">
              <wp:start x="7184" y="0"/>
              <wp:lineTo x="0" y="646"/>
              <wp:lineTo x="0" y="20028"/>
              <wp:lineTo x="7184" y="20674"/>
              <wp:lineTo x="8302" y="20674"/>
              <wp:lineTo x="21392" y="14859"/>
              <wp:lineTo x="21392" y="9691"/>
              <wp:lineTo x="21233" y="5815"/>
              <wp:lineTo x="8302" y="0"/>
              <wp:lineTo x="7184" y="0"/>
            </wp:wrapPolygon>
          </wp:wrapThrough>
          <wp:docPr id="3" name="Gráfico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arto="http://schemas.microsoft.com/office/word/2006/arto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46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4D" w:rsidRDefault="004522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37BC4"/>
    <w:multiLevelType w:val="hybridMultilevel"/>
    <w:tmpl w:val="2BB628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E0"/>
    <w:rsid w:val="003F53BA"/>
    <w:rsid w:val="00452248"/>
    <w:rsid w:val="005428D9"/>
    <w:rsid w:val="00661C91"/>
    <w:rsid w:val="008A4820"/>
    <w:rsid w:val="008E5DE0"/>
    <w:rsid w:val="00AD205D"/>
    <w:rsid w:val="00C2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C9C6C-C804-46D2-83A9-016D3A10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DE0"/>
    <w:rPr>
      <w:rFonts w:ascii="Source Sans Pro" w:eastAsia="Calibri" w:hAnsi="Source Sans Pro" w:cs="Source Sans Pro"/>
      <w:color w:val="666666"/>
      <w:sz w:val="21"/>
      <w:szCs w:val="21"/>
      <w:lang w:eastAsia="es-MX"/>
      <w14:numForm w14:val="lini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Avila Bermudez</dc:creator>
  <cp:keywords/>
  <dc:description/>
  <cp:lastModifiedBy>Rodrigo Avila Bermudez</cp:lastModifiedBy>
  <cp:revision>4</cp:revision>
  <dcterms:created xsi:type="dcterms:W3CDTF">2022-09-22T22:41:00Z</dcterms:created>
  <dcterms:modified xsi:type="dcterms:W3CDTF">2022-09-27T23:14:00Z</dcterms:modified>
</cp:coreProperties>
</file>