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8D" w:rsidRDefault="0008788D" w:rsidP="0008788D">
      <w:pPr>
        <w:ind w:left="284"/>
        <w:jc w:val="right"/>
        <w:rPr>
          <w:b/>
        </w:rPr>
      </w:pPr>
    </w:p>
    <w:p w:rsidR="0008788D" w:rsidRDefault="0008788D" w:rsidP="0008788D">
      <w:pPr>
        <w:rPr>
          <w:b/>
          <w:sz w:val="16"/>
          <w:szCs w:val="16"/>
        </w:rPr>
      </w:pPr>
    </w:p>
    <w:p w:rsidR="0008788D" w:rsidRDefault="0008788D" w:rsidP="0008788D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08788D" w:rsidRDefault="0008788D" w:rsidP="0008788D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08788D" w:rsidRPr="008D1F1A" w:rsidRDefault="0008788D" w:rsidP="0008788D">
      <w:pPr>
        <w:rPr>
          <w:rFonts w:eastAsia="Source Sans Pro"/>
          <w:color w:val="808080"/>
          <w:sz w:val="22"/>
          <w:szCs w:val="22"/>
          <w14:numForm w14:val="default"/>
        </w:rPr>
      </w:pPr>
    </w:p>
    <w:p w:rsidR="0008788D" w:rsidRPr="008D1F1A" w:rsidRDefault="0008788D" w:rsidP="0008788D">
      <w:pPr>
        <w:spacing w:after="0" w:line="240" w:lineRule="auto"/>
        <w:ind w:left="2880" w:firstLine="720"/>
        <w:rPr>
          <w:rFonts w:eastAsia="Source Sans Pro"/>
          <w:color w:val="808080"/>
          <w:sz w:val="22"/>
          <w:szCs w:val="22"/>
          <w14:numForm w14:val="default"/>
        </w:rPr>
      </w:pPr>
    </w:p>
    <w:p w:rsidR="0008788D" w:rsidRPr="008D1F1A" w:rsidRDefault="0008788D" w:rsidP="0008788D">
      <w:pPr>
        <w:spacing w:after="0" w:line="240" w:lineRule="auto"/>
        <w:ind w:left="2880" w:firstLine="720"/>
        <w:jc w:val="center"/>
        <w:rPr>
          <w:rFonts w:eastAsia="Source Sans Pro"/>
          <w:color w:val="808080"/>
          <w:sz w:val="22"/>
          <w:szCs w:val="22"/>
          <w14:numForm w14:val="default"/>
        </w:rPr>
      </w:pPr>
    </w:p>
    <w:p w:rsidR="0008788D" w:rsidRPr="0008788D" w:rsidRDefault="0008788D" w:rsidP="0008788D">
      <w:pP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</w:pP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MINUTA</w:t>
      </w:r>
    </w:p>
    <w:p w:rsidR="0008788D" w:rsidRPr="0008788D" w:rsidRDefault="0008788D" w:rsidP="0008788D">
      <w:pP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</w:pP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REUNIÓN ORDINARIA DE LA ORQUESTA TÍPICA DE LA CIUDAD DE MÉXICO</w:t>
      </w:r>
    </w:p>
    <w:p w:rsidR="0008788D" w:rsidRPr="0008788D" w:rsidRDefault="0008788D" w:rsidP="0008788D">
      <w:pP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FECHA: VIERNES</w:t>
      </w: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 xml:space="preserve"> </w:t>
      </w:r>
      <w: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26</w:t>
      </w: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 xml:space="preserve"> DE</w:t>
      </w:r>
      <w: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 xml:space="preserve"> AGOSTO DE 2022</w:t>
      </w: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, 12:00 HORAS</w:t>
      </w:r>
    </w:p>
    <w:p w:rsidR="0008788D" w:rsidRPr="0008788D" w:rsidRDefault="0008788D" w:rsidP="0008788D">
      <w:pP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</w:pP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LUGAR: REUNIÓN VIRTUAL VÍA ZOOM</w:t>
      </w:r>
    </w:p>
    <w:p w:rsidR="0008788D" w:rsidRPr="0008788D" w:rsidRDefault="0008788D" w:rsidP="0008788D">
      <w:pPr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</w:pPr>
    </w:p>
    <w:p w:rsidR="0008788D" w:rsidRPr="0008788D" w:rsidRDefault="0008788D" w:rsidP="0008788D">
      <w:pPr>
        <w:jc w:val="both"/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  <w:t>Al iniciar la sesión, el Lic. Francisco Javier Martínez Ramírez, Director</w:t>
      </w:r>
      <w:r w:rsidRPr="0008788D"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  <w:t xml:space="preserve"> General de Patrimonio Histórico, Artístico y Cultural, dio la bienvenida a los asistentes y se pasó lista de asistencia. En la reunión estuvieron presentes: Gonzalo Camacho, músico especialista; Víctor Heredia, representante de la Fonoteca Nacio</w:t>
      </w:r>
      <w:r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  <w:t xml:space="preserve">nal; Salvador </w:t>
      </w:r>
      <w:proofErr w:type="spellStart"/>
      <w:r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  <w:t>Guízar</w:t>
      </w:r>
      <w:proofErr w:type="spellEnd"/>
      <w:r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  <w:t xml:space="preserve">, Directo de la </w:t>
      </w:r>
      <w:r w:rsidRPr="0008788D"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  <w:t>OTCM; Juan Guillermo Contreras, Investigador y profesor del INBA; Jesús Echevarría, músico especialista, Ángel Paris García Becerril integrante de la OTCM</w:t>
      </w:r>
      <w:r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  <w:t>, Atlas Zaldívar, integrante de la OTCM</w:t>
      </w:r>
      <w:r w:rsidRPr="0008788D"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  <w:t xml:space="preserve"> y Rodrigo Ávila Bermúdez, JUD de Patrimonio Cultural y Conservación.</w:t>
      </w:r>
    </w:p>
    <w:p w:rsidR="0008788D" w:rsidRDefault="0008788D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  <w:t xml:space="preserve">De acuerdo al Orden del Día, el Lic. </w:t>
      </w:r>
      <w:r w:rsidRPr="0008788D">
        <w:rPr>
          <w:rFonts w:ascii="Calibri" w:hAnsi="Calibri" w:cs="Times New Roman"/>
          <w:b/>
          <w:color w:val="auto"/>
          <w:sz w:val="22"/>
          <w:szCs w:val="22"/>
          <w:lang w:eastAsia="en-US"/>
          <w14:numForm w14:val="default"/>
        </w:rPr>
        <w:t>Rodrigo Ávila</w:t>
      </w: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 xml:space="preserve"> </w:t>
      </w: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expuso el punto relacionado con la “Actualización de la Comisión de Salvaguarda de la OTCM” considerando que los anteriores miembros: Vanessa Velazco, directora de la Escuela del Mariachi y el Mtro. </w:t>
      </w:r>
      <w:r w:rsidR="0028083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Héctor </w:t>
      </w: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Sosa, músico especialista de la Escuela Superior de Música no podrán continuar. Ante esta situación, los miembros de la Comisión hicieron algunas sugerencias para incorporar a nuevos integrantes. </w:t>
      </w:r>
    </w:p>
    <w:p w:rsidR="0008788D" w:rsidRDefault="0008788D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Referente al punto relacionado con la “Revisión del documento del Plan de Salvaguarda” (Ejes de Trabajo) el </w:t>
      </w:r>
      <w:r w:rsidRPr="00A00B17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Mtro. Ángel Paris Becerril</w:t>
      </w: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, presentó sus observaciones</w:t>
      </w:r>
      <w:r w:rsidR="00A00B1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a dicho documento y propuso</w:t>
      </w: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la actualización de</w:t>
      </w:r>
      <w:r w:rsidR="00A00B1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la información que se tiene, así como la revisión de los objetivos de las acciones a realizar. Por su parte el </w:t>
      </w:r>
      <w:r w:rsidR="00A00B17" w:rsidRPr="00A00B17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Lic. Rodrigo Ávila</w:t>
      </w:r>
      <w:r w:rsidR="00A00B1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propuso la actualización de las comisiones de trabajo con el fin de organizar las funciones de los miembros a partir de los Ejes de Trabajo establecidos. </w:t>
      </w:r>
    </w:p>
    <w:p w:rsidR="00A00B17" w:rsidRDefault="00A00B17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El </w:t>
      </w:r>
      <w:r w:rsidRPr="004A2E8C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 xml:space="preserve">Mtro. Salvador </w:t>
      </w:r>
      <w:proofErr w:type="spellStart"/>
      <w:r w:rsidRPr="004A2E8C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Guízar</w:t>
      </w:r>
      <w:proofErr w:type="spellEnd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habló respecto al punto de Vinculación con otras instituciones para lo c</w:t>
      </w:r>
      <w:r w:rsidR="004A2E8C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ual los miembros de la Comisión se pusieron a disposición para recibir propuestas de la OTCM y canalizarlas con las instancias a las que pertenecen. </w:t>
      </w:r>
    </w:p>
    <w:p w:rsidR="00280837" w:rsidRDefault="00D45B36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Asimismo, el </w:t>
      </w:r>
      <w:r w:rsidRPr="009E66BA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 xml:space="preserve">Mtro. Salvador </w:t>
      </w:r>
      <w:proofErr w:type="spellStart"/>
      <w:r w:rsidRPr="009E66BA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Guízar</w:t>
      </w:r>
      <w:proofErr w:type="spellEnd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habló de las actividades </w:t>
      </w:r>
      <w:r w:rsidR="00FA178F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programadas del periodo agosto-diciembre del 2022, entre las que se encuentran la participación de la OTCM en el 50 aniversario del Festival Cervantino, el concierto de música del period</w:t>
      </w:r>
      <w:r w:rsidR="0028083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o de la Revolución que se tiene</w:t>
      </w:r>
      <w:r w:rsidR="00FA178F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programado para presentarse en la FARO “Cosmos” y en el T</w:t>
      </w:r>
      <w:r w:rsidR="009E66BA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eatro del Pueblo</w:t>
      </w:r>
      <w:r w:rsidR="0028083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,</w:t>
      </w:r>
      <w:r w:rsidR="009E66BA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así como </w:t>
      </w:r>
      <w:r w:rsidR="00FA178F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la ópera “Carmen” y el coro de Madrigalistas en colaboración con el INBAL y un concierto titulado “Navidad en Latinoamérica” para las actividades decembrinas. </w:t>
      </w:r>
      <w:r w:rsidR="009E66BA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Para los proyectos relacionados con el acervo de la OTCM que se encuentra en el Archivo Histórico de la Ciudad de México, se tiene la propuesta de convocar a egresados de la Facultad </w:t>
      </w:r>
    </w:p>
    <w:p w:rsidR="00280837" w:rsidRDefault="00280837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</w:p>
    <w:p w:rsidR="00280837" w:rsidRDefault="00280837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</w:p>
    <w:p w:rsidR="00280837" w:rsidRDefault="00280837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</w:p>
    <w:p w:rsidR="00280837" w:rsidRDefault="00280837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</w:p>
    <w:p w:rsidR="00280837" w:rsidRDefault="00280837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</w:p>
    <w:p w:rsidR="00D45B36" w:rsidRDefault="009E66BA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proofErr w:type="gramStart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de</w:t>
      </w:r>
      <w:proofErr w:type="gramEnd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Música</w:t>
      </w:r>
      <w:r w:rsidR="0028083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y de </w:t>
      </w:r>
      <w:proofErr w:type="spellStart"/>
      <w:r w:rsidR="0028083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archivonomía</w:t>
      </w:r>
      <w:proofErr w:type="spellEnd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en ca</w:t>
      </w:r>
      <w:r w:rsidR="0028083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lidad de Servicio Social para su</w:t>
      </w: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clasificación y digitalización documental. </w:t>
      </w:r>
    </w:p>
    <w:p w:rsidR="009E66BA" w:rsidRDefault="009E66BA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Por su parte, el Mtro. Víctor Heredia comentó el seguimiento a los proyectos que se t</w:t>
      </w:r>
      <w:r w:rsidR="0028083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ienen con la Fonoteca Nacional en los que se tienen contemplados el rescate y digitalización de fonogramas antiguos de la OTCM y del seguimiento del </w:t>
      </w:r>
      <w:proofErr w:type="spellStart"/>
      <w:r w:rsidR="0028083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micrositio</w:t>
      </w:r>
      <w:proofErr w:type="spellEnd"/>
      <w:r w:rsidR="0028083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“</w:t>
      </w:r>
      <w:proofErr w:type="spellStart"/>
      <w:r w:rsidR="0028083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Musiteca</w:t>
      </w:r>
      <w:proofErr w:type="spellEnd"/>
      <w:r w:rsidR="00280837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” para su difusión así como la exposición de instrumentos típicos en las instalaciones de la Fonoteca para el año 2023. </w:t>
      </w:r>
    </w:p>
    <w:p w:rsidR="00280837" w:rsidRDefault="00280837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En relación a los asuntos generales, el Lic. Francisco Javier Martínez Ramírez consideró las solicitudes de la Comisión relacionadas con </w:t>
      </w:r>
      <w:r w:rsidR="00463B03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la </w:t>
      </w:r>
      <w:r w:rsidR="00200244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situación laboral de los músicos de la OTCM así como del presupuesto destinado a la orquesta. En cuanto al tema de la creación de una Asociación Civil para captar recursos para la Orquesta se invitará a la próxima reunión al área jurídica para que asesore al respecto. </w:t>
      </w:r>
    </w:p>
    <w:p w:rsidR="00200244" w:rsidRDefault="00200244" w:rsidP="0008788D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</w:p>
    <w:p w:rsidR="0008788D" w:rsidRPr="0008788D" w:rsidRDefault="0008788D" w:rsidP="0008788D">
      <w:pP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</w:pP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ACUERDOS</w:t>
      </w:r>
    </w:p>
    <w:p w:rsidR="0008788D" w:rsidRDefault="0008788D" w:rsidP="0008788D">
      <w:pP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 w:rsidRPr="0008788D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- </w:t>
      </w:r>
      <w:r w:rsidR="00200244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Se solicitó a la Comisión la propuesta de nuevos miembros con la finalidad de enviarles la invitación formal. </w:t>
      </w:r>
    </w:p>
    <w:p w:rsidR="00200244" w:rsidRDefault="00200244" w:rsidP="0008788D">
      <w:pP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- El Lic. Rodrigo Ávila informará una fecha para llevar a cabo una mesa de trabajo para dar continuidad a la actualización del documento del Plan de Salvaguarda. </w:t>
      </w:r>
    </w:p>
    <w:p w:rsidR="00200244" w:rsidRDefault="00200244" w:rsidP="0008788D">
      <w:pP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-La OTCM hará las solicitudes correspondientes a las instituciones que forman parte de la Comisión para establecer vínculos que permitan llevar a cabo nuevas actividades y proyectos. </w:t>
      </w:r>
    </w:p>
    <w:p w:rsidR="00463B03" w:rsidRDefault="00463B03" w:rsidP="0008788D">
      <w:pP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-Se acordó que la próxima reunión se llevará a cabo el próximo viernes 30 de septiembre del 2022 a las 12:00 horas en modalidad virtual. </w:t>
      </w:r>
    </w:p>
    <w:p w:rsidR="0008788D" w:rsidRPr="0008788D" w:rsidRDefault="008E3DAE" w:rsidP="0008788D">
      <w:pP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</w:t>
      </w:r>
      <w:bookmarkStart w:id="0" w:name="_GoBack"/>
      <w:bookmarkEnd w:id="0"/>
    </w:p>
    <w:p w:rsidR="0008788D" w:rsidRPr="0008788D" w:rsidRDefault="0008788D" w:rsidP="0008788D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  <w14:numForm w14:val="default"/>
        </w:rPr>
      </w:pPr>
    </w:p>
    <w:p w:rsidR="0008788D" w:rsidRPr="0008788D" w:rsidRDefault="0008788D" w:rsidP="0008788D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  <w14:numForm w14:val="default"/>
        </w:rPr>
      </w:pPr>
    </w:p>
    <w:p w:rsidR="0008788D" w:rsidRPr="008D1F1A" w:rsidRDefault="0008788D" w:rsidP="0008788D">
      <w:pPr>
        <w:rPr>
          <w:rFonts w:ascii="Calibri" w:hAnsi="Calibri" w:cs="Calibri"/>
          <w:color w:val="auto"/>
          <w:sz w:val="22"/>
          <w:szCs w:val="22"/>
          <w14:numForm w14:val="default"/>
        </w:rPr>
      </w:pPr>
    </w:p>
    <w:p w:rsidR="0008788D" w:rsidRDefault="0008788D" w:rsidP="0008788D">
      <w:pPr>
        <w:spacing w:after="0"/>
        <w:ind w:right="-261"/>
        <w:jc w:val="both"/>
        <w:rPr>
          <w:rFonts w:eastAsia="Times New Roman" w:cs="Arial"/>
          <w:b/>
          <w:color w:val="auto"/>
          <w:sz w:val="22"/>
          <w:szCs w:val="22"/>
          <w:lang w:val="pt-BR"/>
          <w14:numForm w14:val="default"/>
        </w:rPr>
      </w:pPr>
    </w:p>
    <w:p w:rsidR="0008788D" w:rsidRPr="00666FCD" w:rsidRDefault="0008788D" w:rsidP="0008788D">
      <w:pPr>
        <w:spacing w:after="0"/>
        <w:ind w:right="-261"/>
        <w:rPr>
          <w:rFonts w:eastAsia="Times New Roman" w:cs="Arial"/>
          <w:bCs/>
          <w:color w:val="auto"/>
          <w:sz w:val="18"/>
          <w:szCs w:val="18"/>
          <w14:numForm w14:val="default"/>
        </w:rPr>
      </w:pPr>
    </w:p>
    <w:p w:rsidR="0008788D" w:rsidRPr="00A43522" w:rsidRDefault="0008788D" w:rsidP="0008788D">
      <w:pPr>
        <w:spacing w:after="0"/>
        <w:ind w:right="-261"/>
        <w:rPr>
          <w:rFonts w:eastAsia="Times New Roman" w:cs="Arial"/>
          <w:bCs/>
          <w:color w:val="auto"/>
          <w:sz w:val="16"/>
          <w:szCs w:val="16"/>
          <w14:numForm w14:val="default"/>
        </w:rPr>
      </w:pPr>
    </w:p>
    <w:p w:rsidR="0008788D" w:rsidRDefault="0008788D" w:rsidP="0008788D"/>
    <w:p w:rsidR="0008788D" w:rsidRDefault="0008788D" w:rsidP="0008788D"/>
    <w:p w:rsidR="003F53BA" w:rsidRDefault="003F53BA"/>
    <w:sectPr w:rsidR="003F53BA" w:rsidSect="000E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79" w:rsidRDefault="00B40A79">
      <w:pPr>
        <w:spacing w:after="0" w:line="240" w:lineRule="auto"/>
      </w:pPr>
      <w:r>
        <w:separator/>
      </w:r>
    </w:p>
  </w:endnote>
  <w:endnote w:type="continuationSeparator" w:id="0">
    <w:p w:rsidR="00B40A79" w:rsidRDefault="00B4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B40A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63B03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3C73BE" wp14:editId="05310868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5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1C4317" wp14:editId="6846A3DE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661" w:rsidRDefault="00463B03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26,  1</w:t>
                          </w:r>
                          <w:r>
                            <w:rPr>
                              <w:rFonts w:eastAsia="Source Sans Pro"/>
                              <w:color w:val="808080"/>
                              <w:sz w:val="13"/>
                            </w:rPr>
                            <w:t>er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Piso, Chimalistac,</w:t>
                          </w:r>
                        </w:p>
                        <w:p w:rsidR="00BF4661" w:rsidRDefault="00463B03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BF4661" w:rsidRDefault="00463B03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ext.1115 y 1117</w:t>
                          </w:r>
                        </w:p>
                        <w:p w:rsidR="003B154D" w:rsidRPr="00AC56E9" w:rsidRDefault="00B40A79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C4317" id="Rectángulo 34" o:spid="_x0000_s1027" style="position:absolute;left:0;text-align:left;margin-left:-49.15pt;margin-top:-29.9pt;width:257.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" stroked="f">
              <v:textbox inset="2.53958mm,1.2694mm,2.53958mm,1.2694mm">
                <w:txbxContent>
                  <w:p w:rsidR="00BF4661" w:rsidRDefault="00463B03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26,  1</w:t>
                    </w:r>
                    <w:r>
                      <w:rPr>
                        <w:rFonts w:eastAsia="Source Sans Pro"/>
                        <w:color w:val="808080"/>
                        <w:sz w:val="13"/>
                      </w:rPr>
                      <w:t>er</w:t>
                    </w: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Piso, Chimalistac,</w:t>
                    </w:r>
                  </w:p>
                  <w:p w:rsidR="00BF4661" w:rsidRDefault="00463B03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BF4661" w:rsidRDefault="00463B03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ext.1115 y 1117</w:t>
                    </w:r>
                  </w:p>
                  <w:p w:rsidR="003B154D" w:rsidRPr="00AC56E9" w:rsidRDefault="00463B03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B40A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79" w:rsidRDefault="00B40A79">
      <w:pPr>
        <w:spacing w:after="0" w:line="240" w:lineRule="auto"/>
      </w:pPr>
      <w:r>
        <w:separator/>
      </w:r>
    </w:p>
  </w:footnote>
  <w:footnote w:type="continuationSeparator" w:id="0">
    <w:p w:rsidR="00B40A79" w:rsidRDefault="00B4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B40A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Pr="006B4B16" w:rsidRDefault="00463B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F98DAFE" wp14:editId="461614FF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2571750" cy="704850"/>
              <wp:effectExtent l="0" t="0" r="19050" b="19050"/>
              <wp:wrapSquare wrapText="bothSides"/>
              <wp:docPr id="4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15E25" w:rsidRPr="008846C1" w:rsidRDefault="00463B03" w:rsidP="00515E25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CULTURA</w:t>
                          </w:r>
                        </w:p>
                        <w:p w:rsidR="00515E25" w:rsidRPr="00335D90" w:rsidRDefault="00463B03" w:rsidP="00515E25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ind w:left="426" w:right="-6" w:hanging="426"/>
                            <w:textDirection w:val="btLr"/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          DIRECCIÓN GENERAL DE PATRIMONIO HISTÓRICO, ARTÍSTICO Y CULTURAL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98DAFE" id="Rectángulo 35" o:spid="_x0000_s1026" style="position:absolute;margin-left:151.3pt;margin-top:0;width:202.5pt;height:55.5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515E25" w:rsidRPr="008846C1" w:rsidRDefault="00463B03" w:rsidP="00515E25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              </w:t>
                    </w: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CULTURA</w:t>
                    </w:r>
                  </w:p>
                  <w:p w:rsidR="00515E25" w:rsidRPr="00335D90" w:rsidRDefault="00463B03" w:rsidP="00515E25">
                    <w:pPr>
                      <w:tabs>
                        <w:tab w:val="left" w:pos="426"/>
                      </w:tabs>
                      <w:spacing w:after="0" w:line="240" w:lineRule="auto"/>
                      <w:ind w:left="426" w:right="-6" w:hanging="426"/>
                      <w:textDirection w:val="btLr"/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          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DIRECCIÓN GENERAL DE PATRIMONIO HISTÓRICO, ARTÍSTICO Y CULTURAL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eastAsia="Source Sans Pro"/>
        <w:noProof/>
      </w:rPr>
      <w:drawing>
        <wp:anchor distT="0" distB="0" distL="114300" distR="114300" simplePos="0" relativeHeight="251662336" behindDoc="0" locked="0" layoutInCell="1" allowOverlap="1" wp14:anchorId="5830427E" wp14:editId="4E73BD08">
          <wp:simplePos x="0" y="0"/>
          <wp:positionH relativeFrom="margin">
            <wp:posOffset>4269740</wp:posOffset>
          </wp:positionH>
          <wp:positionV relativeFrom="margin">
            <wp:posOffset>248285</wp:posOffset>
          </wp:positionV>
          <wp:extent cx="1687830" cy="802640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27ACE7" wp14:editId="12210152">
          <wp:simplePos x="0" y="0"/>
          <wp:positionH relativeFrom="column">
            <wp:posOffset>-563245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646"/>
              <wp:lineTo x="0" y="20028"/>
              <wp:lineTo x="7184" y="20674"/>
              <wp:lineTo x="8302" y="20674"/>
              <wp:lineTo x="21392" y="14859"/>
              <wp:lineTo x="21392" y="9691"/>
              <wp:lineTo x="21233" y="5815"/>
              <wp:lineTo x="8302" y="0"/>
              <wp:lineTo x="7184" y="0"/>
            </wp:wrapPolygon>
          </wp:wrapThrough>
          <wp:docPr id="3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B40A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37BC4"/>
    <w:multiLevelType w:val="hybridMultilevel"/>
    <w:tmpl w:val="2BB62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8D"/>
    <w:rsid w:val="00062F1C"/>
    <w:rsid w:val="0008788D"/>
    <w:rsid w:val="00200244"/>
    <w:rsid w:val="00280837"/>
    <w:rsid w:val="003F53BA"/>
    <w:rsid w:val="004028E8"/>
    <w:rsid w:val="00463B03"/>
    <w:rsid w:val="00477A53"/>
    <w:rsid w:val="004A2E8C"/>
    <w:rsid w:val="005428D9"/>
    <w:rsid w:val="008A4820"/>
    <w:rsid w:val="008E3DAE"/>
    <w:rsid w:val="009E66BA"/>
    <w:rsid w:val="00A00B17"/>
    <w:rsid w:val="00B40A79"/>
    <w:rsid w:val="00D45B36"/>
    <w:rsid w:val="00F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CB6F8-477E-424B-8212-2E6439FE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8D"/>
    <w:rPr>
      <w:rFonts w:ascii="Source Sans Pro" w:eastAsia="Calibri" w:hAnsi="Source Sans Pro" w:cs="Source Sans Pro"/>
      <w:color w:val="666666"/>
      <w:sz w:val="21"/>
      <w:szCs w:val="21"/>
      <w:lang w:eastAsia="es-MX"/>
      <w14:numForm w14:val="lini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5</cp:revision>
  <dcterms:created xsi:type="dcterms:W3CDTF">2022-08-29T17:57:00Z</dcterms:created>
  <dcterms:modified xsi:type="dcterms:W3CDTF">2022-09-27T23:13:00Z</dcterms:modified>
</cp:coreProperties>
</file>