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  <w:t xml:space="preserve">Ciudad de México, 19 de Agosto de 2022.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REUNIÓN VIRTUAL NOCHE DE MUSEOS AGOSTO 2022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12:00 a 13:00 horas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¡Gracias por seguir construyendo redes!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*RECEPCIÓN y RECOMENDACIONES: </w:t>
      </w:r>
      <w:r w:rsidDel="00000000" w:rsidR="00000000" w:rsidRPr="00000000">
        <w:rPr>
          <w:rtl w:val="0"/>
        </w:rPr>
        <w:t xml:space="preserve">(se darán de 5 minutos para el ingreso)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-Por favor conforme vayan ingresando escribir en el chat: 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  Su nombre, recinto y correo de contacto. 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-Pedimos nos ayuden manteniendo su micrófono en silencio, si no tienen la palabra.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-Para tomar la palabra favor de levantar la mano por medio del chat de la plataforma.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-Solicitamos su permiso para grabar la sesión.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BIENVENIDA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DIFUSIÓN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 *</w:t>
      </w:r>
      <w:r w:rsidDel="00000000" w:rsidR="00000000" w:rsidRPr="00000000">
        <w:rPr>
          <w:rtl w:val="0"/>
        </w:rPr>
        <w:t xml:space="preserve">Seguimiento de la edición de Noche de Museos de julio del 2022.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*La Noche de Museos será el miércoles 31 de agosto de 17 a 22 horas.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• Metodología General (Carteles, Publicaciones, Vinculaciones de páginas, Recomienda y Numeralia). 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Uso del #NocheDeMuseosVirtual  y/o  #NocheDeMuseos  </w:t>
      </w:r>
      <w:r w:rsidDel="00000000" w:rsidR="00000000" w:rsidRPr="00000000">
        <w:rPr>
          <w:b w:val="1"/>
          <w:rtl w:val="0"/>
        </w:rPr>
        <w:t xml:space="preserve">EN LOS COPYS DE LAS PUBLICACIONES. 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*No hay Plantilla nueva para AGOSTO (Se utilizan las mismas que el mes pasado, se enviaron por correo)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ESTUDIO DE PÚBLICO.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-Continuamos con la aplicación de la encuesta de junio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(para actividades presenciales, se enviará por correo)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ASUNTOS GENERALES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•Actividades Incluyentes. Gestión con INDISCAPACIDAD (antes INDEPEDI) y ASOR CDMX para en septiembre tener la colaboración de Intérpretes en Lengua de Señas Mexicana para eventos en Noche de Museos.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•Continúa el trabajo colaborativo por circuitos en Alameda –Revolución y Centro (hasta Plaza Tolsá), invitación a retomar reuniones por circuitos. Estamos trabajando para abrir otras zonas para vistas en circuito y por rutas.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Charlas virtuales (se realizan transmisiones en vivo en la Noche de Museos) 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*ESPACIO DE COMENTARIOS Y DESPEDIDA</w:t>
      </w:r>
    </w:p>
    <w:p w:rsidR="00000000" w:rsidDel="00000000" w:rsidP="00000000" w:rsidRDefault="00000000" w:rsidRPr="00000000" w14:paraId="0000001E">
      <w:pPr>
        <w:jc w:val="center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¡La Noche de Museos la hacemos todos!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2127" w:left="1276" w:right="1041" w:header="568" w:footer="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419"/>
        <w:tab w:val="right" w:pos="8838"/>
      </w:tabs>
      <w:spacing w:after="0" w:line="240" w:lineRule="auto"/>
      <w:ind w:left="-709" w:firstLine="0"/>
      <w:rPr>
        <w:color w:val="808080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  <w:t xml:space="preserve">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-380999</wp:posOffset>
              </wp:positionV>
              <wp:extent cx="3281045" cy="46672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10240" y="355140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850" w:right="0" w:firstLine="-99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  <w:t xml:space="preserve">                             Avenida de la Paz 26,  piso 4, Chimalistac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850" w:right="0" w:firstLine="-99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850" w:right="0" w:firstLine="-99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  <w:t xml:space="preserve">                             T.  55 1719 3000 ext.1338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675" lIns="91425" spcFirstLastPara="1" rIns="91425" wrap="square" tIns="456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-380999</wp:posOffset>
              </wp:positionV>
              <wp:extent cx="3281045" cy="466725"/>
              <wp:effectExtent b="0" l="0" r="0" t="0"/>
              <wp:wrapNone/>
              <wp:docPr id="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104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4619625</wp:posOffset>
          </wp:positionH>
          <wp:positionV relativeFrom="paragraph">
            <wp:posOffset>-200024</wp:posOffset>
          </wp:positionV>
          <wp:extent cx="1419860" cy="226060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 w:rsidDel="00000000" w:rsidR="00000000" w:rsidRPr="00000000">
      <w:rPr>
        <w:color w:val="80808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4757738</wp:posOffset>
              </wp:positionH>
              <wp:positionV relativeFrom="topMargin">
                <wp:posOffset>306388</wp:posOffset>
              </wp:positionV>
              <wp:extent cx="2813685" cy="676275"/>
              <wp:effectExtent b="0" l="0" r="0" t="0"/>
              <wp:wrapSquare wrapText="bothSides" distB="0" distT="0" distL="0" distR="0"/>
              <wp:docPr id="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3920" y="3446625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00" w:before="100" w:line="258.0000114440918"/>
                            <w:ind w:left="0" w:right="-6.000000238418579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  <w:t xml:space="preserve">SECRETARÍA DE CULTURA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00" w:before="100" w:line="258.0000114440918"/>
                            <w:ind w:left="0" w:right="-6.000000238418579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666666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  <w:t xml:space="preserve">DIRECCIÓN GENERAL DE PATRIMONIO HISTÓRICO,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00" w:before="100" w:line="258.0000114440918"/>
                            <w:ind w:left="0" w:right="-6.000000238418579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6"/>
                              <w:vertAlign w:val="baseline"/>
                            </w:rPr>
                            <w:t xml:space="preserve">ARTÍSTICO Y CULTURAL </w:t>
                          </w:r>
                        </w:p>
                      </w:txbxContent>
                    </wps:txbx>
                    <wps:bodyPr anchorCtr="0" anchor="t" bIns="45675" lIns="91425" spcFirstLastPara="1" rIns="91425" wrap="square" tIns="456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4757738</wp:posOffset>
              </wp:positionH>
              <wp:positionV relativeFrom="topMargin">
                <wp:posOffset>306388</wp:posOffset>
              </wp:positionV>
              <wp:extent cx="2813685" cy="676275"/>
              <wp:effectExtent b="0" l="0" r="0" t="0"/>
              <wp:wrapSquare wrapText="bothSides" distB="0" distT="0" distL="0" distR="0"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368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808080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-125094</wp:posOffset>
          </wp:positionH>
          <wp:positionV relativeFrom="paragraph">
            <wp:posOffset>-5079</wp:posOffset>
          </wp:positionV>
          <wp:extent cx="2577465" cy="636905"/>
          <wp:effectExtent b="0" l="0" r="0" t="0"/>
          <wp:wrapSquare wrapText="bothSides" distB="0" distT="0" distL="114300" distR="11430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1"/>
        <w:szCs w:val="21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5A06"/>
  </w:style>
  <w:style w:type="paragraph" w:styleId="Ttulo1">
    <w:name w:val="heading 1"/>
    <w:basedOn w:val="Normal"/>
    <w:next w:val="Normal"/>
    <w:uiPriority w:val="9"/>
    <w:qFormat w:val="1"/>
    <w:rsid w:val="000E7B8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0E7B8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ar"/>
    <w:uiPriority w:val="9"/>
    <w:semiHidden w:val="1"/>
    <w:unhideWhenUsed w:val="1"/>
    <w:qFormat w:val="1"/>
    <w:rsid w:val="007A78E5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0E7B8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0E7B89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0E7B8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0E7B8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0E7B8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 w:val="1"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832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8329A"/>
    <w:rPr>
      <w:rFonts w:ascii="Segoe UI" w:cs="Segoe UI" w:hAnsi="Segoe UI"/>
      <w:sz w:val="18"/>
      <w:szCs w:val="18"/>
    </w:rPr>
  </w:style>
  <w:style w:type="character" w:styleId="Ttulo3Car" w:customStyle="1">
    <w:name w:val="Título 3 Car"/>
    <w:basedOn w:val="Fuentedeprrafopredeter"/>
    <w:link w:val="Ttulo3"/>
    <w:uiPriority w:val="9"/>
    <w:rsid w:val="007A78E5"/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 w:val="1"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 w:val="1"/>
    <w:rsid w:val="000E7B89"/>
    <w:pPr>
      <w:keepNext w:val="1"/>
      <w:keepLines w:val="1"/>
      <w:spacing w:after="80" w:before="360"/>
    </w:pPr>
    <w:rPr>
      <w:rFonts w:ascii="Georgia" w:cs="Georgia" w:eastAsia="Georgia" w:hAnsi="Georgia"/>
      <w:i w:val="1"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44AE9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3B18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table" w:styleId="GridTable2Accent1" w:customStyle="1">
    <w:name w:val="Grid Table 2 Accent 1"/>
    <w:basedOn w:val="Tablanormal"/>
    <w:uiPriority w:val="47"/>
    <w:rsid w:val="003B188C"/>
    <w:pPr>
      <w:spacing w:after="0" w:line="240" w:lineRule="auto"/>
    </w:pPr>
    <w:rPr>
      <w:rFonts w:asciiTheme="minorHAnsi" w:cstheme="minorBidi" w:eastAsiaTheme="minorHAnsi" w:hAnsiTheme="minorHAnsi"/>
      <w:color w:val="auto"/>
      <w:sz w:val="22"/>
      <w:szCs w:val="22"/>
      <w:lang w:eastAsia="en-US"/>
    </w:r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4Accent5" w:customStyle="1">
    <w:name w:val="Grid Table 4 Accent 5"/>
    <w:basedOn w:val="Tablanormal"/>
    <w:uiPriority w:val="49"/>
    <w:rsid w:val="003B188C"/>
    <w:pPr>
      <w:spacing w:after="0" w:line="240" w:lineRule="auto"/>
    </w:pPr>
    <w:rPr>
      <w:rFonts w:asciiTheme="minorHAnsi" w:cstheme="minorBidi" w:eastAsiaTheme="minorHAnsi" w:hAnsiTheme="minorHAnsi"/>
      <w:color w:val="auto"/>
      <w:sz w:val="22"/>
      <w:szCs w:val="22"/>
      <w:lang w:eastAsia="en-US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tpcC/SoC7UfnO2UXUDQUZThYg==">AMUW2mVD21deokKEzLI5WdKODKqkEBxUjRk+Sw56CWs2vyDY17HaW9rP2UQJGcK5VvWr2vctU28pFNSw47n6qTg8/Fe5CfSk3UDn5K5Jzp4nRZwxbjosEdqreVBHtuLB+k/rcpjSWWuV3j2ANmNZjkRkdx+WH9m8DsVyLU5yr7Qpl77fTFKTiamtWRRajMilo7iisIY2wnf/NYEkN1u1zAe+0Wb5tHYO8tVdub/pWJdPDvY2WP+VUrY=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2022-08-17T23:10:00Z</dcterms:created>
  <dc:creator>IMAGEN15</dc:creator>
</cp:coreProperties>
</file>