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B7" w:rsidRDefault="00C038B7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038B7">
        <w:rPr>
          <w:rFonts w:ascii="Arial" w:hAnsi="Arial" w:cs="Arial"/>
          <w:b/>
          <w:sz w:val="24"/>
          <w:szCs w:val="24"/>
        </w:rPr>
        <w:t>Programa para la Integración al Desarrollo de las Personas con Discapacidad 2014-2018</w:t>
      </w:r>
      <w:r>
        <w:rPr>
          <w:rFonts w:ascii="Arial" w:hAnsi="Arial" w:cs="Arial"/>
          <w:b/>
          <w:sz w:val="24"/>
          <w:szCs w:val="24"/>
        </w:rPr>
        <w:t>, febrero 2015</w:t>
      </w:r>
    </w:p>
    <w:p w:rsidR="00C038B7" w:rsidRDefault="00C038B7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38B7" w:rsidRDefault="00C038B7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1FA8" w:rsidRPr="00E61CBF" w:rsidRDefault="00C61FA8" w:rsidP="00E016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994B56">
        <w:rPr>
          <w:rFonts w:ascii="Arial" w:hAnsi="Arial" w:cs="Arial"/>
          <w:sz w:val="24"/>
          <w:szCs w:val="24"/>
        </w:rPr>
        <w:t>l Programa para la Integración al Desarrollo de las Personas con Discapacidad 2014-2018 (PID-PCD 2014-2018) fue</w:t>
      </w:r>
      <w:r>
        <w:rPr>
          <w:rFonts w:ascii="Arial" w:hAnsi="Arial" w:cs="Arial"/>
          <w:sz w:val="24"/>
          <w:szCs w:val="24"/>
        </w:rPr>
        <w:t xml:space="preserve"> </w:t>
      </w:r>
      <w:r w:rsidR="00994B56">
        <w:rPr>
          <w:rFonts w:ascii="Arial" w:hAnsi="Arial" w:cs="Arial"/>
          <w:sz w:val="24"/>
          <w:szCs w:val="24"/>
        </w:rPr>
        <w:t xml:space="preserve">elaborado por el Instituto para la Integración al Desarrollo de las Personas con Discapacidad del Distrito Federal y </w:t>
      </w:r>
      <w:r>
        <w:rPr>
          <w:rFonts w:ascii="Arial" w:hAnsi="Arial" w:cs="Arial"/>
          <w:sz w:val="24"/>
          <w:szCs w:val="24"/>
        </w:rPr>
        <w:t xml:space="preserve">fue suscrito por el Jefe de Gobierno y el Secretario de Cultura, entre otros funcionarios. Uno de </w:t>
      </w:r>
      <w:r w:rsidRPr="00C038B7">
        <w:rPr>
          <w:rFonts w:ascii="Arial" w:hAnsi="Arial" w:cs="Arial"/>
          <w:sz w:val="24"/>
          <w:szCs w:val="24"/>
        </w:rPr>
        <w:t>los docu</w:t>
      </w:r>
      <w:r w:rsidR="00B82933">
        <w:rPr>
          <w:rFonts w:ascii="Arial" w:hAnsi="Arial" w:cs="Arial"/>
          <w:sz w:val="24"/>
          <w:szCs w:val="24"/>
        </w:rPr>
        <w:t xml:space="preserve">mentos que </w:t>
      </w:r>
      <w:r w:rsidR="00994B56">
        <w:rPr>
          <w:rFonts w:ascii="Arial" w:hAnsi="Arial" w:cs="Arial"/>
          <w:sz w:val="24"/>
          <w:szCs w:val="24"/>
        </w:rPr>
        <w:t xml:space="preserve">lo </w:t>
      </w:r>
      <w:r w:rsidR="00B82933">
        <w:rPr>
          <w:rFonts w:ascii="Arial" w:hAnsi="Arial" w:cs="Arial"/>
          <w:sz w:val="24"/>
          <w:szCs w:val="24"/>
        </w:rPr>
        <w:t xml:space="preserve">sustentan </w:t>
      </w:r>
      <w:r w:rsidR="00994B56">
        <w:rPr>
          <w:rFonts w:ascii="Arial" w:hAnsi="Arial" w:cs="Arial"/>
          <w:sz w:val="24"/>
          <w:szCs w:val="24"/>
        </w:rPr>
        <w:t xml:space="preserve">es </w:t>
      </w:r>
      <w:r w:rsidR="00B82933">
        <w:rPr>
          <w:rFonts w:ascii="Arial" w:hAnsi="Arial" w:cs="Arial"/>
          <w:sz w:val="24"/>
          <w:szCs w:val="24"/>
        </w:rPr>
        <w:t xml:space="preserve">la </w:t>
      </w:r>
      <w:r w:rsidRPr="00C038B7">
        <w:rPr>
          <w:rFonts w:ascii="Arial" w:hAnsi="Arial" w:cs="Arial"/>
          <w:i/>
          <w:sz w:val="24"/>
          <w:szCs w:val="24"/>
        </w:rPr>
        <w:t>Ley de Foment</w:t>
      </w:r>
      <w:r w:rsidR="00E61CBF">
        <w:rPr>
          <w:rFonts w:ascii="Arial" w:hAnsi="Arial" w:cs="Arial"/>
          <w:i/>
          <w:sz w:val="24"/>
          <w:szCs w:val="24"/>
        </w:rPr>
        <w:t xml:space="preserve">o Cultural del Distrito Federal </w:t>
      </w:r>
      <w:r w:rsidR="00E61CBF" w:rsidRPr="00E61CBF">
        <w:rPr>
          <w:rFonts w:ascii="Arial" w:hAnsi="Arial" w:cs="Arial"/>
          <w:sz w:val="24"/>
          <w:szCs w:val="24"/>
        </w:rPr>
        <w:t xml:space="preserve">que </w:t>
      </w:r>
      <w:r w:rsidR="00E61CBF">
        <w:rPr>
          <w:rFonts w:ascii="Arial" w:hAnsi="Arial" w:cs="Arial"/>
          <w:sz w:val="24"/>
          <w:szCs w:val="24"/>
        </w:rPr>
        <w:t xml:space="preserve">actualmente rige a esta Secretaría. </w:t>
      </w:r>
    </w:p>
    <w:p w:rsidR="00210239" w:rsidRPr="00C038B7" w:rsidRDefault="00FC7ECB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Algunos de l</w:t>
      </w:r>
      <w:r w:rsidR="00210239" w:rsidRPr="00C038B7">
        <w:rPr>
          <w:rFonts w:ascii="Arial" w:hAnsi="Arial" w:cs="Arial"/>
          <w:sz w:val="24"/>
          <w:szCs w:val="24"/>
        </w:rPr>
        <w:t xml:space="preserve">os Considerandos del </w:t>
      </w:r>
      <w:r>
        <w:rPr>
          <w:rFonts w:ascii="Arial" w:hAnsi="Arial" w:cs="Arial"/>
          <w:sz w:val="24"/>
          <w:szCs w:val="24"/>
        </w:rPr>
        <w:t xml:space="preserve">Programa para la Integración al Desarrollo de las Personas con Discapacidad 2014-2018 son las </w:t>
      </w:r>
      <w:r w:rsidR="00210239" w:rsidRPr="00C038B7">
        <w:rPr>
          <w:rFonts w:ascii="Arial" w:hAnsi="Arial" w:cs="Arial"/>
          <w:sz w:val="24"/>
          <w:szCs w:val="24"/>
        </w:rPr>
        <w:t xml:space="preserve">siguientes: </w:t>
      </w:r>
    </w:p>
    <w:p w:rsidR="00210239" w:rsidRPr="00C038B7" w:rsidRDefault="00210239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702B" w:rsidRPr="00F13D01" w:rsidRDefault="0068702B" w:rsidP="00E016F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D01">
        <w:rPr>
          <w:rFonts w:ascii="Arial" w:hAnsi="Arial" w:cs="Arial"/>
          <w:sz w:val="24"/>
          <w:szCs w:val="24"/>
        </w:rPr>
        <w:t>Que el Programa para la Integración al Desarrollo de las Personas con Discapacidad del Distrito Federal 2014-2018 (PIDPCD),</w:t>
      </w:r>
      <w:r w:rsidR="00210239" w:rsidRPr="00F13D01">
        <w:rPr>
          <w:rFonts w:ascii="Arial" w:hAnsi="Arial" w:cs="Arial"/>
          <w:sz w:val="24"/>
          <w:szCs w:val="24"/>
        </w:rPr>
        <w:t xml:space="preserve"> </w:t>
      </w:r>
      <w:r w:rsidRPr="00F13D01">
        <w:rPr>
          <w:rFonts w:ascii="Arial" w:hAnsi="Arial" w:cs="Arial"/>
          <w:sz w:val="24"/>
          <w:szCs w:val="24"/>
        </w:rPr>
        <w:t>es un Programa derivado del Programa General de Desarrollo del Distrito Federal 2013-2018 (PGDDF), acorde con</w:t>
      </w:r>
      <w:r w:rsidR="00210239" w:rsidRPr="00F13D01">
        <w:rPr>
          <w:rFonts w:ascii="Arial" w:hAnsi="Arial" w:cs="Arial"/>
          <w:sz w:val="24"/>
          <w:szCs w:val="24"/>
        </w:rPr>
        <w:t xml:space="preserve"> </w:t>
      </w:r>
      <w:r w:rsidRPr="00F13D01">
        <w:rPr>
          <w:rFonts w:ascii="Arial" w:hAnsi="Arial" w:cs="Arial"/>
          <w:sz w:val="24"/>
          <w:szCs w:val="24"/>
        </w:rPr>
        <w:t>la Acción Estratégica Uno del Programa Sectorial de Desarrollo Social con Equidad e Inclusión 2013-2018.</w:t>
      </w:r>
    </w:p>
    <w:p w:rsidR="00210239" w:rsidRPr="00C038B7" w:rsidRDefault="00210239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DBA" w:rsidRPr="00F13D01" w:rsidRDefault="0068702B" w:rsidP="00E016F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D01">
        <w:rPr>
          <w:rFonts w:ascii="Arial" w:hAnsi="Arial" w:cs="Arial"/>
          <w:sz w:val="24"/>
          <w:szCs w:val="24"/>
        </w:rPr>
        <w:t>Que el Programa para la Integración al Desarrollo de las Personas con Discapacidad del Distrito Federal 2014-2018 (PIDPCD),</w:t>
      </w:r>
      <w:r w:rsidR="00210239" w:rsidRPr="00F13D01">
        <w:rPr>
          <w:rFonts w:ascii="Arial" w:hAnsi="Arial" w:cs="Arial"/>
          <w:sz w:val="24"/>
          <w:szCs w:val="24"/>
        </w:rPr>
        <w:t xml:space="preserve"> </w:t>
      </w:r>
      <w:r w:rsidRPr="00F13D01">
        <w:rPr>
          <w:rFonts w:ascii="Arial" w:hAnsi="Arial" w:cs="Arial"/>
          <w:sz w:val="24"/>
          <w:szCs w:val="24"/>
        </w:rPr>
        <w:t>se instrumentará de acuerdo con los mecanismos de programación, presupuestación y evaluación contenidos en el</w:t>
      </w:r>
      <w:r w:rsidR="00210239" w:rsidRPr="00F13D01">
        <w:rPr>
          <w:rFonts w:ascii="Arial" w:hAnsi="Arial" w:cs="Arial"/>
          <w:sz w:val="24"/>
          <w:szCs w:val="24"/>
        </w:rPr>
        <w:t xml:space="preserve"> </w:t>
      </w:r>
      <w:r w:rsidRPr="00F13D01">
        <w:rPr>
          <w:rFonts w:ascii="Arial" w:hAnsi="Arial" w:cs="Arial"/>
          <w:sz w:val="24"/>
          <w:szCs w:val="24"/>
        </w:rPr>
        <w:t>mismo y establece los objetivos, metas y líneas de política pública enfocadas a las Personas con Discapacidad que habiten o</w:t>
      </w:r>
      <w:r w:rsidR="00210239" w:rsidRPr="00F13D01">
        <w:rPr>
          <w:rFonts w:ascii="Arial" w:hAnsi="Arial" w:cs="Arial"/>
          <w:sz w:val="24"/>
          <w:szCs w:val="24"/>
        </w:rPr>
        <w:t xml:space="preserve"> </w:t>
      </w:r>
      <w:r w:rsidRPr="00F13D01">
        <w:rPr>
          <w:rFonts w:ascii="Arial" w:hAnsi="Arial" w:cs="Arial"/>
          <w:sz w:val="24"/>
          <w:szCs w:val="24"/>
        </w:rPr>
        <w:t>transiten en la Ciudad de México.</w:t>
      </w:r>
    </w:p>
    <w:p w:rsidR="00210239" w:rsidRPr="00C038B7" w:rsidRDefault="00210239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702B" w:rsidRPr="00F13D01" w:rsidRDefault="0068702B" w:rsidP="00E016F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D01">
        <w:rPr>
          <w:rFonts w:ascii="Arial" w:hAnsi="Arial" w:cs="Arial"/>
          <w:sz w:val="24"/>
          <w:szCs w:val="24"/>
        </w:rPr>
        <w:t>Que en observancia a la Ley de Planeación del Desarrollo del Distrito Federal y demás disposiciones aplicables, y en el</w:t>
      </w:r>
      <w:r w:rsidR="00210239" w:rsidRPr="00F13D01">
        <w:rPr>
          <w:rFonts w:ascii="Arial" w:hAnsi="Arial" w:cs="Arial"/>
          <w:sz w:val="24"/>
          <w:szCs w:val="24"/>
        </w:rPr>
        <w:t xml:space="preserve"> </w:t>
      </w:r>
      <w:r w:rsidRPr="00F13D01">
        <w:rPr>
          <w:rFonts w:ascii="Arial" w:hAnsi="Arial" w:cs="Arial"/>
          <w:sz w:val="24"/>
          <w:szCs w:val="24"/>
        </w:rPr>
        <w:t>marco del Programa para la Integración al Desarrollo de las Personas con Discapacidad del Distrito Federal 2014-2018</w:t>
      </w:r>
      <w:r w:rsidR="00210239" w:rsidRPr="00F13D01">
        <w:rPr>
          <w:rFonts w:ascii="Arial" w:hAnsi="Arial" w:cs="Arial"/>
          <w:sz w:val="24"/>
          <w:szCs w:val="24"/>
        </w:rPr>
        <w:t xml:space="preserve"> </w:t>
      </w:r>
      <w:r w:rsidRPr="00F13D01">
        <w:rPr>
          <w:rFonts w:ascii="Arial" w:hAnsi="Arial" w:cs="Arial"/>
          <w:sz w:val="24"/>
          <w:szCs w:val="24"/>
        </w:rPr>
        <w:t>(PID-PCD), las dependencias, órganos desconcentrados y entidades de la Administración Pública del Distrito Federal</w:t>
      </w:r>
      <w:r w:rsidR="00210239" w:rsidRPr="00F13D01">
        <w:rPr>
          <w:rFonts w:ascii="Arial" w:hAnsi="Arial" w:cs="Arial"/>
          <w:sz w:val="24"/>
          <w:szCs w:val="24"/>
        </w:rPr>
        <w:t xml:space="preserve"> </w:t>
      </w:r>
      <w:r w:rsidRPr="00F13D01">
        <w:rPr>
          <w:rFonts w:ascii="Arial" w:hAnsi="Arial" w:cs="Arial"/>
          <w:sz w:val="24"/>
          <w:szCs w:val="24"/>
        </w:rPr>
        <w:t>desarrollarán y ejecutarán las orientaciones estratégicas que establece el PID-PCD.</w:t>
      </w:r>
    </w:p>
    <w:p w:rsidR="00660CD9" w:rsidRDefault="00660CD9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94B56" w:rsidRDefault="00E2443F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 el PID-PCD 2014-2018 se propone trabajar con un Modelo Social de la Discapacidad establece que la discapacidad es resultado de las limitaciones impuestas sobre las personas con alguna deficiencia o limitación, por actitudes y posturas sociales, culturales, económicas y por las barreras del entorno, que se interponen para lograr su participación en la sociedad. </w:t>
      </w:r>
    </w:p>
    <w:p w:rsidR="00E2443F" w:rsidRDefault="0069550E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40FE5">
        <w:rPr>
          <w:rFonts w:ascii="Arial" w:hAnsi="Arial" w:cs="Arial"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EF5EA" wp14:editId="11ACCCC1">
                <wp:simplePos x="0" y="0"/>
                <wp:positionH relativeFrom="column">
                  <wp:posOffset>1129665</wp:posOffset>
                </wp:positionH>
                <wp:positionV relativeFrom="paragraph">
                  <wp:posOffset>70485</wp:posOffset>
                </wp:positionV>
                <wp:extent cx="4118610" cy="2415540"/>
                <wp:effectExtent l="0" t="0" r="15240" b="2286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8610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FE5" w:rsidRPr="00834CA2" w:rsidRDefault="00440FE5" w:rsidP="00440F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34CA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Integración de los Modelos Médico y Social</w:t>
                            </w:r>
                          </w:p>
                          <w:p w:rsidR="00E45614" w:rsidRDefault="00E45614" w:rsidP="00440F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45614" w:rsidRDefault="00E45614" w:rsidP="00440F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24"/>
                                <w:szCs w:val="24"/>
                                <w:lang w:eastAsia="es-MX"/>
                              </w:rPr>
                              <w:drawing>
                                <wp:inline distT="0" distB="0" distL="0" distR="0" wp14:anchorId="4431EC3A" wp14:editId="4A40494F">
                                  <wp:extent cx="2115047" cy="1876508"/>
                                  <wp:effectExtent l="0" t="0" r="0" b="0"/>
                                  <wp:docPr id="7" name="Diagrama 7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5" r:lo="rId6" r:qs="rId7" r:cs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5614" w:rsidRDefault="00E45614" w:rsidP="00E45614"/>
                          <w:p w:rsidR="00E45614" w:rsidRDefault="00E45614" w:rsidP="00E45614">
                            <w:r>
                              <w:t xml:space="preserve">La Discapacidad es un fenómeno universal y se requiere de la responsabilidad colectiva de la sociedad para permitir la inclusión y su participación plena, de esta forma es vista desde una perspectiva de Derechos Humanos con intervención de la política pública. </w:t>
                            </w:r>
                          </w:p>
                          <w:p w:rsidR="00440FE5" w:rsidRDefault="00440F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EF5E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8.95pt;margin-top:5.55pt;width:324.3pt;height:19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">
                <v:textbox>
                  <w:txbxContent>
                    <w:p w:rsidR="00440FE5" w:rsidRPr="00834CA2" w:rsidRDefault="00440FE5" w:rsidP="00440F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34CA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Integración de los Modelos Médico y Social</w:t>
                      </w:r>
                    </w:p>
                    <w:p w:rsidR="00E45614" w:rsidRDefault="00E45614" w:rsidP="00440F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:rsidR="00E45614" w:rsidRDefault="00E45614" w:rsidP="00440F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sz w:val="24"/>
                          <w:szCs w:val="24"/>
                          <w:lang w:eastAsia="es-MX"/>
                        </w:rPr>
                        <w:drawing>
                          <wp:inline distT="0" distB="0" distL="0" distR="0" wp14:anchorId="4431EC3A" wp14:editId="4A40494F">
                            <wp:extent cx="2115047" cy="1876508"/>
                            <wp:effectExtent l="0" t="0" r="0" b="0"/>
                            <wp:docPr id="7" name="Diagrama 7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0" r:lo="rId6" r:qs="rId7" r:cs="rId8"/>
                              </a:graphicData>
                            </a:graphic>
                          </wp:inline>
                        </w:drawing>
                      </w:r>
                    </w:p>
                    <w:p w:rsidR="00E45614" w:rsidRDefault="00E45614" w:rsidP="00E45614"/>
                    <w:p w:rsidR="00E45614" w:rsidRDefault="00E45614" w:rsidP="00E45614">
                      <w:r>
                        <w:t xml:space="preserve">La Discapacidad es un fenómeno universal y se requiere de la responsabilidad colectiva de la sociedad para permitir la inclusión y su participación plena, de esta forma es vista desde una perspectiva de Derechos Humanos con intervención de la política pública. </w:t>
                      </w:r>
                    </w:p>
                    <w:p w:rsidR="00440FE5" w:rsidRDefault="00440FE5"/>
                  </w:txbxContent>
                </v:textbox>
              </v:shape>
            </w:pict>
          </mc:Fallback>
        </mc:AlternateContent>
      </w:r>
    </w:p>
    <w:p w:rsidR="002937C6" w:rsidRDefault="002937C6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937C6" w:rsidRDefault="002937C6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937C6" w:rsidRDefault="002937C6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B2D47" w:rsidRDefault="007B2D47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937C6" w:rsidRDefault="002937C6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937C6" w:rsidRDefault="002937C6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937C6" w:rsidRDefault="002937C6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937C6" w:rsidRDefault="002937C6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937C6" w:rsidRDefault="002937C6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937C6" w:rsidRDefault="002937C6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937C6" w:rsidRDefault="002937C6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937C6" w:rsidRDefault="002937C6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937C6" w:rsidRDefault="002937C6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94B56" w:rsidRPr="00E61CBF" w:rsidRDefault="00994B56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Programa menciona que la Convención de Naciones Unidas sobre los Derechos de las Personas con Discapacidad </w:t>
      </w:r>
      <w:r w:rsidR="00DD5F49" w:rsidRPr="00E61CBF">
        <w:rPr>
          <w:rFonts w:ascii="Arial" w:hAnsi="Arial" w:cs="Arial"/>
          <w:bCs/>
          <w:i/>
          <w:sz w:val="24"/>
          <w:szCs w:val="24"/>
        </w:rPr>
        <w:t xml:space="preserve">“…no impone un concepto rígido de discapacidad, sino que adopta un enfoque dinámico, que permite ajustes a lo largo del tiempo en diversos entornos socioeconómicos, la define como un: concepto que evoluciona y que resulta de la interacción entre las personas con discapacidad y las barreras debidas a la actitud y al entorno que evitan su participación plena y efectiva en la sociedad, en igualdad de condiciones con las demás”. </w:t>
      </w:r>
    </w:p>
    <w:p w:rsidR="00994B56" w:rsidRDefault="00994B56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D5F49" w:rsidRDefault="00DD5F49" w:rsidP="00E016F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Las características generales que presentan las personas con distintos tipos de discapacidad </w:t>
      </w:r>
      <w:r w:rsidR="00F8404C">
        <w:rPr>
          <w:rFonts w:ascii="Arial" w:hAnsi="Arial" w:cs="Arial"/>
          <w:b/>
          <w:sz w:val="24"/>
          <w:szCs w:val="24"/>
        </w:rPr>
        <w:t xml:space="preserve">pueden ser </w:t>
      </w:r>
      <w:r>
        <w:rPr>
          <w:rFonts w:ascii="Arial" w:hAnsi="Arial" w:cs="Arial"/>
          <w:b/>
          <w:sz w:val="24"/>
          <w:szCs w:val="24"/>
        </w:rPr>
        <w:t xml:space="preserve">las siguientes: </w:t>
      </w:r>
    </w:p>
    <w:p w:rsidR="00DD5F49" w:rsidRPr="00DD5F49" w:rsidRDefault="00DD5F49" w:rsidP="00E016F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D5F49">
        <w:rPr>
          <w:rFonts w:ascii="Arial" w:hAnsi="Arial" w:cs="Arial"/>
          <w:sz w:val="24"/>
          <w:szCs w:val="24"/>
        </w:rPr>
        <w:t>Dificultad para poner atenc</w:t>
      </w:r>
      <w:r w:rsidR="00B81E4C">
        <w:rPr>
          <w:rFonts w:ascii="Arial" w:hAnsi="Arial" w:cs="Arial"/>
          <w:sz w:val="24"/>
          <w:szCs w:val="24"/>
        </w:rPr>
        <w:t>ión o aprender cosas sencillas (limitación mental).</w:t>
      </w:r>
    </w:p>
    <w:p w:rsidR="00DD5F49" w:rsidRPr="00C038B7" w:rsidRDefault="00DD5F49" w:rsidP="00E01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038B7">
        <w:rPr>
          <w:rFonts w:ascii="Arial" w:hAnsi="Arial" w:cs="Arial"/>
          <w:sz w:val="24"/>
          <w:szCs w:val="24"/>
        </w:rPr>
        <w:t>Comportamientos o conductas sociales fuera de lo convencional.</w:t>
      </w:r>
    </w:p>
    <w:p w:rsidR="00DD5F49" w:rsidRPr="00C038B7" w:rsidRDefault="00DD5F49" w:rsidP="00E01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038B7">
        <w:rPr>
          <w:rFonts w:ascii="Arial" w:hAnsi="Arial" w:cs="Arial"/>
          <w:sz w:val="24"/>
          <w:szCs w:val="24"/>
        </w:rPr>
        <w:t xml:space="preserve">Dificultad para realizar tareas y ejercicios con motricidad </w:t>
      </w:r>
      <w:r w:rsidR="00B81E4C">
        <w:rPr>
          <w:rFonts w:ascii="Arial" w:hAnsi="Arial" w:cs="Arial"/>
          <w:sz w:val="24"/>
          <w:szCs w:val="24"/>
        </w:rPr>
        <w:t xml:space="preserve">gruesa (desplazarse o moverse) y </w:t>
      </w:r>
      <w:r w:rsidR="001A6E12">
        <w:rPr>
          <w:rFonts w:ascii="Arial" w:hAnsi="Arial" w:cs="Arial"/>
          <w:sz w:val="24"/>
          <w:szCs w:val="24"/>
        </w:rPr>
        <w:t xml:space="preserve">motricidad </w:t>
      </w:r>
      <w:r w:rsidR="00B81E4C">
        <w:rPr>
          <w:rFonts w:ascii="Arial" w:hAnsi="Arial" w:cs="Arial"/>
          <w:sz w:val="24"/>
          <w:szCs w:val="24"/>
        </w:rPr>
        <w:t xml:space="preserve">fina (realizar trabajos con coordinación mano ojo o tareas con los dedos). </w:t>
      </w:r>
    </w:p>
    <w:p w:rsidR="00DD5F49" w:rsidRPr="00C038B7" w:rsidRDefault="00DD5F49" w:rsidP="00E01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038B7">
        <w:rPr>
          <w:rFonts w:ascii="Arial" w:hAnsi="Arial" w:cs="Arial"/>
          <w:sz w:val="24"/>
          <w:szCs w:val="24"/>
        </w:rPr>
        <w:t>Dificultad o imposibilidad de comunicarse por los canales convencionales usados por las personas sin discapacidad.</w:t>
      </w:r>
    </w:p>
    <w:p w:rsidR="00DD5F49" w:rsidRPr="00C038B7" w:rsidRDefault="00DD5F49" w:rsidP="00E01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038B7">
        <w:rPr>
          <w:rFonts w:ascii="Arial" w:hAnsi="Arial" w:cs="Arial"/>
          <w:sz w:val="24"/>
          <w:szCs w:val="24"/>
        </w:rPr>
        <w:t>Dificulta</w:t>
      </w:r>
      <w:r w:rsidR="001A6E12">
        <w:rPr>
          <w:rFonts w:ascii="Arial" w:hAnsi="Arial" w:cs="Arial"/>
          <w:sz w:val="24"/>
          <w:szCs w:val="24"/>
        </w:rPr>
        <w:t>d o imposibilidad para escuchar.</w:t>
      </w:r>
    </w:p>
    <w:p w:rsidR="00DD5F49" w:rsidRDefault="00DD5F49" w:rsidP="00E01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038B7">
        <w:rPr>
          <w:rFonts w:ascii="Arial" w:hAnsi="Arial" w:cs="Arial"/>
          <w:sz w:val="24"/>
          <w:szCs w:val="24"/>
        </w:rPr>
        <w:t>Dificultad o imposibilidad pa</w:t>
      </w:r>
      <w:r>
        <w:rPr>
          <w:rFonts w:ascii="Arial" w:hAnsi="Arial" w:cs="Arial"/>
          <w:sz w:val="24"/>
          <w:szCs w:val="24"/>
        </w:rPr>
        <w:t>r</w:t>
      </w:r>
      <w:r w:rsidR="001A6E12">
        <w:rPr>
          <w:rFonts w:ascii="Arial" w:hAnsi="Arial" w:cs="Arial"/>
          <w:sz w:val="24"/>
          <w:szCs w:val="24"/>
        </w:rPr>
        <w:t xml:space="preserve">a ver aun usando lentes. </w:t>
      </w:r>
    </w:p>
    <w:p w:rsidR="001A6E12" w:rsidRPr="00C038B7" w:rsidRDefault="001A6E12" w:rsidP="00E01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Dificultas o imposibilidad para hacerse responsables de sí mismos. </w:t>
      </w:r>
    </w:p>
    <w:p w:rsidR="00DD5F49" w:rsidRDefault="00DD5F49" w:rsidP="00E016F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 importante considerar que por lo general se presenta más de uno de los aspectos anteriores. </w:t>
      </w:r>
    </w:p>
    <w:p w:rsidR="00DD5F49" w:rsidRDefault="00610720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 PID-PCD 2014-2018 quedó aprobado bajo seis puntos de los que se destacan los siguientes:  </w:t>
      </w:r>
    </w:p>
    <w:p w:rsidR="00610720" w:rsidRDefault="00610720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8702B" w:rsidRPr="00C038B7" w:rsidRDefault="0068702B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8B7">
        <w:rPr>
          <w:rFonts w:ascii="Arial" w:hAnsi="Arial" w:cs="Arial"/>
          <w:b/>
          <w:bCs/>
          <w:sz w:val="24"/>
          <w:szCs w:val="24"/>
        </w:rPr>
        <w:t xml:space="preserve">SEGUNDO.- </w:t>
      </w:r>
      <w:r w:rsidRPr="00C038B7">
        <w:rPr>
          <w:rFonts w:ascii="Arial" w:hAnsi="Arial" w:cs="Arial"/>
          <w:sz w:val="24"/>
          <w:szCs w:val="24"/>
        </w:rPr>
        <w:t>El Programa para la Integración al Desarrollo de las Personas con Discapacidad del Distrito Federal 2014-2018, será de observancia obligatoria para la Administración Pública del Distrito Federal, en el ámbito de sus respectivas</w:t>
      </w:r>
      <w:r w:rsidR="00210239" w:rsidRPr="00C038B7">
        <w:rPr>
          <w:rFonts w:ascii="Arial" w:hAnsi="Arial" w:cs="Arial"/>
          <w:sz w:val="24"/>
          <w:szCs w:val="24"/>
        </w:rPr>
        <w:t xml:space="preserve"> </w:t>
      </w:r>
      <w:r w:rsidRPr="00C038B7">
        <w:rPr>
          <w:rFonts w:ascii="Arial" w:hAnsi="Arial" w:cs="Arial"/>
          <w:sz w:val="24"/>
          <w:szCs w:val="24"/>
        </w:rPr>
        <w:t>competencias.</w:t>
      </w:r>
    </w:p>
    <w:p w:rsidR="00F13D01" w:rsidRDefault="00F13D0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8702B" w:rsidRPr="00C038B7" w:rsidRDefault="0068702B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8B7">
        <w:rPr>
          <w:rFonts w:ascii="Arial" w:hAnsi="Arial" w:cs="Arial"/>
          <w:b/>
          <w:bCs/>
          <w:sz w:val="24"/>
          <w:szCs w:val="24"/>
        </w:rPr>
        <w:t xml:space="preserve">TERCERO.- </w:t>
      </w:r>
      <w:r w:rsidRPr="00C038B7">
        <w:rPr>
          <w:rFonts w:ascii="Arial" w:hAnsi="Arial" w:cs="Arial"/>
          <w:sz w:val="24"/>
          <w:szCs w:val="24"/>
        </w:rPr>
        <w:t>Las Delegaciones, Dependencias, Órganos Desconcentrados y Entidades de la Administración Pública del</w:t>
      </w:r>
      <w:r w:rsidR="00210239" w:rsidRPr="00C038B7">
        <w:rPr>
          <w:rFonts w:ascii="Arial" w:hAnsi="Arial" w:cs="Arial"/>
          <w:sz w:val="24"/>
          <w:szCs w:val="24"/>
        </w:rPr>
        <w:t xml:space="preserve"> </w:t>
      </w:r>
      <w:r w:rsidRPr="00C038B7">
        <w:rPr>
          <w:rFonts w:ascii="Arial" w:hAnsi="Arial" w:cs="Arial"/>
          <w:sz w:val="24"/>
          <w:szCs w:val="24"/>
        </w:rPr>
        <w:t>Distrito Federal tienen participación en el cumplimiento del Programa para la Integración al Desarrollo de las Personas con</w:t>
      </w:r>
      <w:r w:rsidR="00210239" w:rsidRPr="00C038B7">
        <w:rPr>
          <w:rFonts w:ascii="Arial" w:hAnsi="Arial" w:cs="Arial"/>
          <w:sz w:val="24"/>
          <w:szCs w:val="24"/>
        </w:rPr>
        <w:t xml:space="preserve"> </w:t>
      </w:r>
      <w:r w:rsidRPr="00C038B7">
        <w:rPr>
          <w:rFonts w:ascii="Arial" w:hAnsi="Arial" w:cs="Arial"/>
          <w:sz w:val="24"/>
          <w:szCs w:val="24"/>
        </w:rPr>
        <w:t>Discapacidad del Distrito Federal 2014-2018 de acuerdo con sus atribuciones El Instituto para la Integración al Desarrollo</w:t>
      </w:r>
      <w:r w:rsidR="00210239" w:rsidRPr="00C038B7">
        <w:rPr>
          <w:rFonts w:ascii="Arial" w:hAnsi="Arial" w:cs="Arial"/>
          <w:sz w:val="24"/>
          <w:szCs w:val="24"/>
        </w:rPr>
        <w:t xml:space="preserve"> </w:t>
      </w:r>
      <w:r w:rsidRPr="00C038B7">
        <w:rPr>
          <w:rFonts w:ascii="Arial" w:hAnsi="Arial" w:cs="Arial"/>
          <w:sz w:val="24"/>
          <w:szCs w:val="24"/>
        </w:rPr>
        <w:t>de las Personas con Discapacidad del Distrito Federal, determinará la participación de cada una de éstas para el</w:t>
      </w:r>
      <w:r w:rsidR="00210239" w:rsidRPr="00C038B7">
        <w:rPr>
          <w:rFonts w:ascii="Arial" w:hAnsi="Arial" w:cs="Arial"/>
          <w:sz w:val="24"/>
          <w:szCs w:val="24"/>
        </w:rPr>
        <w:t xml:space="preserve"> </w:t>
      </w:r>
      <w:r w:rsidRPr="00C038B7">
        <w:rPr>
          <w:rFonts w:ascii="Arial" w:hAnsi="Arial" w:cs="Arial"/>
          <w:sz w:val="24"/>
          <w:szCs w:val="24"/>
        </w:rPr>
        <w:t>cumplimiento de las políticas púb</w:t>
      </w:r>
      <w:r w:rsidR="0069555A">
        <w:rPr>
          <w:rFonts w:ascii="Arial" w:hAnsi="Arial" w:cs="Arial"/>
          <w:sz w:val="24"/>
          <w:szCs w:val="24"/>
        </w:rPr>
        <w:t>licas contenidas en el Programa, (para lo cual se trabajará a través de los Subprogramas del INDEPEDI).</w:t>
      </w:r>
    </w:p>
    <w:p w:rsidR="00210239" w:rsidRPr="00C038B7" w:rsidRDefault="00210239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702B" w:rsidRPr="00C038B7" w:rsidRDefault="0068702B" w:rsidP="00E016F3">
      <w:pPr>
        <w:jc w:val="both"/>
        <w:rPr>
          <w:rFonts w:ascii="Arial" w:hAnsi="Arial" w:cs="Arial"/>
          <w:b/>
          <w:sz w:val="24"/>
          <w:szCs w:val="24"/>
        </w:rPr>
      </w:pPr>
      <w:r w:rsidRPr="00C038B7">
        <w:rPr>
          <w:rFonts w:ascii="Arial" w:hAnsi="Arial" w:cs="Arial"/>
          <w:b/>
          <w:sz w:val="24"/>
          <w:szCs w:val="24"/>
        </w:rPr>
        <w:t xml:space="preserve">Subprogramas Transversales </w:t>
      </w:r>
      <w:r w:rsidR="00FB2528">
        <w:rPr>
          <w:rFonts w:ascii="Arial" w:hAnsi="Arial" w:cs="Arial"/>
          <w:b/>
          <w:sz w:val="24"/>
          <w:szCs w:val="24"/>
        </w:rPr>
        <w:t xml:space="preserve">del INDEPEDI </w:t>
      </w:r>
      <w:r w:rsidRPr="00C038B7">
        <w:rPr>
          <w:rFonts w:ascii="Arial" w:hAnsi="Arial" w:cs="Arial"/>
          <w:b/>
          <w:sz w:val="24"/>
          <w:szCs w:val="24"/>
        </w:rPr>
        <w:t xml:space="preserve">como criterios de orientación: </w:t>
      </w:r>
    </w:p>
    <w:p w:rsidR="0068702B" w:rsidRPr="00C038B7" w:rsidRDefault="0068702B" w:rsidP="00E016F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038B7">
        <w:rPr>
          <w:rFonts w:ascii="Arial" w:hAnsi="Arial" w:cs="Arial"/>
          <w:sz w:val="24"/>
          <w:szCs w:val="24"/>
        </w:rPr>
        <w:t>Protección social.</w:t>
      </w:r>
    </w:p>
    <w:p w:rsidR="0068702B" w:rsidRPr="00C038B7" w:rsidRDefault="0068702B" w:rsidP="00E016F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038B7">
        <w:rPr>
          <w:rFonts w:ascii="Arial" w:hAnsi="Arial" w:cs="Arial"/>
          <w:sz w:val="24"/>
          <w:szCs w:val="24"/>
        </w:rPr>
        <w:t xml:space="preserve">Accesibilidad </w:t>
      </w:r>
    </w:p>
    <w:p w:rsidR="0068702B" w:rsidRPr="00C038B7" w:rsidRDefault="0068702B" w:rsidP="00E016F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038B7">
        <w:rPr>
          <w:rFonts w:ascii="Arial" w:hAnsi="Arial" w:cs="Arial"/>
          <w:sz w:val="24"/>
          <w:szCs w:val="24"/>
        </w:rPr>
        <w:t>Sensibilización: No discriminación e inclusión social.</w:t>
      </w:r>
    </w:p>
    <w:p w:rsidR="0068702B" w:rsidRDefault="0068702B" w:rsidP="00E016F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038B7">
        <w:rPr>
          <w:rFonts w:ascii="Arial" w:hAnsi="Arial" w:cs="Arial"/>
          <w:sz w:val="24"/>
          <w:szCs w:val="24"/>
        </w:rPr>
        <w:t>Armonización legislativa</w:t>
      </w:r>
    </w:p>
    <w:p w:rsidR="00810097" w:rsidRDefault="00CF4EB0" w:rsidP="00810097">
      <w:pPr>
        <w:jc w:val="both"/>
        <w:rPr>
          <w:rFonts w:ascii="Arial" w:hAnsi="Arial" w:cs="Arial"/>
          <w:sz w:val="24"/>
          <w:szCs w:val="24"/>
        </w:rPr>
      </w:pPr>
      <w:r w:rsidRPr="003F4806">
        <w:rPr>
          <w:rFonts w:ascii="Arial" w:hAnsi="Arial" w:cs="Arial"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08DDF" wp14:editId="77AF6559">
                <wp:simplePos x="0" y="0"/>
                <wp:positionH relativeFrom="column">
                  <wp:posOffset>3803650</wp:posOffset>
                </wp:positionH>
                <wp:positionV relativeFrom="paragraph">
                  <wp:posOffset>548005</wp:posOffset>
                </wp:positionV>
                <wp:extent cx="826770" cy="214630"/>
                <wp:effectExtent l="0" t="0" r="11430" b="1397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806" w:rsidRPr="003F4806" w:rsidRDefault="003F4806" w:rsidP="00CF4EB0">
                            <w:pPr>
                              <w:shd w:val="clear" w:color="auto" w:fill="B2A1C7" w:themeFill="accent4" w:themeFillTint="99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F4806">
                              <w:rPr>
                                <w:b/>
                                <w:sz w:val="18"/>
                                <w:szCs w:val="18"/>
                              </w:rPr>
                              <w:t>Accesibilidad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08DDF" id="_x0000_s1027" type="#_x0000_t202" style="position:absolute;left:0;text-align:left;margin-left:299.5pt;margin-top:43.15pt;width:65.1pt;height:1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">
                <v:textbox>
                  <w:txbxContent>
                    <w:p w:rsidR="003F4806" w:rsidRPr="003F4806" w:rsidRDefault="003F4806" w:rsidP="00CF4EB0">
                      <w:pPr>
                        <w:shd w:val="clear" w:color="auto" w:fill="B2A1C7" w:themeFill="accent4" w:themeFillTint="99"/>
                        <w:rPr>
                          <w:b/>
                          <w:sz w:val="18"/>
                          <w:szCs w:val="18"/>
                        </w:rPr>
                      </w:pPr>
                      <w:r w:rsidRPr="003F4806">
                        <w:rPr>
                          <w:b/>
                          <w:sz w:val="18"/>
                          <w:szCs w:val="18"/>
                        </w:rPr>
                        <w:t>Accesibilidad</w:t>
                      </w:r>
                    </w:p>
                  </w:txbxContent>
                </v:textbox>
              </v:shape>
            </w:pict>
          </mc:Fallback>
        </mc:AlternateContent>
      </w:r>
      <w:r w:rsidRPr="003F4806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BA08C" wp14:editId="2A1AD95A">
                <wp:simplePos x="0" y="0"/>
                <wp:positionH relativeFrom="column">
                  <wp:posOffset>2075180</wp:posOffset>
                </wp:positionH>
                <wp:positionV relativeFrom="paragraph">
                  <wp:posOffset>545465</wp:posOffset>
                </wp:positionV>
                <wp:extent cx="1057275" cy="198755"/>
                <wp:effectExtent l="0" t="0" r="28575" b="107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806" w:rsidRPr="003F4806" w:rsidRDefault="003F4806" w:rsidP="00CF4EB0">
                            <w:pPr>
                              <w:shd w:val="clear" w:color="auto" w:fill="95B3D7" w:themeFill="accent1" w:themeFillTint="99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4806">
                              <w:rPr>
                                <w:b/>
                                <w:sz w:val="18"/>
                                <w:szCs w:val="18"/>
                              </w:rPr>
                              <w:t>Protección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BA08C" id="_x0000_s1028" type="#_x0000_t202" style="position:absolute;left:0;text-align:left;margin-left:163.4pt;margin-top:42.95pt;width:83.25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">
                <v:textbox>
                  <w:txbxContent>
                    <w:p w:rsidR="003F4806" w:rsidRPr="003F4806" w:rsidRDefault="003F4806" w:rsidP="00CF4EB0">
                      <w:pPr>
                        <w:shd w:val="clear" w:color="auto" w:fill="95B3D7" w:themeFill="accent1" w:themeFillTint="99"/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F4806">
                        <w:rPr>
                          <w:b/>
                          <w:sz w:val="18"/>
                          <w:szCs w:val="18"/>
                        </w:rPr>
                        <w:t>Protección social</w:t>
                      </w:r>
                    </w:p>
                  </w:txbxContent>
                </v:textbox>
              </v:shape>
            </w:pict>
          </mc:Fallback>
        </mc:AlternateContent>
      </w:r>
      <w:r w:rsidRPr="003F4806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1117E7" wp14:editId="21CEDA54">
                <wp:simplePos x="0" y="0"/>
                <wp:positionH relativeFrom="column">
                  <wp:posOffset>3457575</wp:posOffset>
                </wp:positionH>
                <wp:positionV relativeFrom="paragraph">
                  <wp:posOffset>1595755</wp:posOffset>
                </wp:positionV>
                <wp:extent cx="1534160" cy="381635"/>
                <wp:effectExtent l="0" t="0" r="27940" b="1841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806" w:rsidRDefault="003F4806" w:rsidP="00CF4EB0">
                            <w:pPr>
                              <w:shd w:val="clear" w:color="auto" w:fill="E5B8B7" w:themeFill="accent2" w:themeFillTint="66"/>
                              <w:spacing w:after="0" w:line="240" w:lineRule="auto"/>
                              <w:jc w:val="center"/>
                            </w:pPr>
                            <w:r w:rsidRPr="003F4806">
                              <w:rPr>
                                <w:b/>
                                <w:sz w:val="18"/>
                                <w:szCs w:val="18"/>
                              </w:rPr>
                              <w:t>Sensibilización, no discriminación e</w:t>
                            </w:r>
                            <w:r>
                              <w:t xml:space="preserve"> inclusión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117E7" id="_x0000_s1029" type="#_x0000_t202" style="position:absolute;left:0;text-align:left;margin-left:272.25pt;margin-top:125.65pt;width:120.8pt;height:3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">
                <v:textbox>
                  <w:txbxContent>
                    <w:p w:rsidR="003F4806" w:rsidRDefault="003F4806" w:rsidP="00CF4EB0">
                      <w:pPr>
                        <w:shd w:val="clear" w:color="auto" w:fill="E5B8B7" w:themeFill="accent2" w:themeFillTint="66"/>
                        <w:spacing w:after="0" w:line="240" w:lineRule="auto"/>
                        <w:jc w:val="center"/>
                      </w:pPr>
                      <w:r w:rsidRPr="003F4806">
                        <w:rPr>
                          <w:b/>
                          <w:sz w:val="18"/>
                          <w:szCs w:val="18"/>
                        </w:rPr>
                        <w:t>Sensibilización, no discriminación e</w:t>
                      </w:r>
                      <w:r>
                        <w:t xml:space="preserve"> inclusión</w:t>
                      </w:r>
                    </w:p>
                  </w:txbxContent>
                </v:textbox>
              </v:shape>
            </w:pict>
          </mc:Fallback>
        </mc:AlternateContent>
      </w:r>
      <w:r w:rsidRPr="00CF4EB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9A8117" wp14:editId="1D570827">
                <wp:simplePos x="0" y="0"/>
                <wp:positionH relativeFrom="column">
                  <wp:posOffset>2186305</wp:posOffset>
                </wp:positionH>
                <wp:positionV relativeFrom="paragraph">
                  <wp:posOffset>1626235</wp:posOffset>
                </wp:positionV>
                <wp:extent cx="946150" cy="349250"/>
                <wp:effectExtent l="0" t="0" r="25400" b="1270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EB0" w:rsidRPr="00CF4EB0" w:rsidRDefault="00CF4EB0" w:rsidP="00CF4EB0">
                            <w:pPr>
                              <w:shd w:val="clear" w:color="auto" w:fill="00B0F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4EB0">
                              <w:rPr>
                                <w:b/>
                                <w:sz w:val="18"/>
                                <w:szCs w:val="18"/>
                              </w:rPr>
                              <w:t>Armonización legislativa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A8117" id="_x0000_s1030" type="#_x0000_t202" style="position:absolute;left:0;text-align:left;margin-left:172.15pt;margin-top:128.05pt;width:74.5pt;height: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">
                <v:textbox>
                  <w:txbxContent>
                    <w:p w:rsidR="00CF4EB0" w:rsidRPr="00CF4EB0" w:rsidRDefault="00CF4EB0" w:rsidP="00CF4EB0">
                      <w:pPr>
                        <w:shd w:val="clear" w:color="auto" w:fill="00B0F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F4EB0">
                        <w:rPr>
                          <w:b/>
                          <w:sz w:val="18"/>
                          <w:szCs w:val="18"/>
                        </w:rPr>
                        <w:t>Armonización legislativa</w:t>
                      </w:r>
                    </w:p>
                  </w:txbxContent>
                </v:textbox>
              </v:shape>
            </w:pict>
          </mc:Fallback>
        </mc:AlternateContent>
      </w:r>
      <w:r w:rsidR="00810097">
        <w:rPr>
          <w:rFonts w:ascii="Arial" w:hAnsi="Arial" w:cs="Arial"/>
          <w:bCs/>
          <w:noProof/>
          <w:sz w:val="24"/>
          <w:szCs w:val="24"/>
          <w:lang w:eastAsia="es-MX"/>
        </w:rPr>
        <w:drawing>
          <wp:inline distT="0" distB="0" distL="0" distR="0" wp14:anchorId="05CDE5F3" wp14:editId="46FB60A9">
            <wp:extent cx="6027089" cy="2806810"/>
            <wp:effectExtent l="0" t="0" r="0" b="12700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810097" w:rsidRDefault="00810097" w:rsidP="00810097">
      <w:pPr>
        <w:jc w:val="both"/>
        <w:rPr>
          <w:rFonts w:ascii="Arial" w:hAnsi="Arial" w:cs="Arial"/>
          <w:sz w:val="24"/>
          <w:szCs w:val="24"/>
        </w:rPr>
      </w:pPr>
    </w:p>
    <w:p w:rsidR="0068702B" w:rsidRPr="00C038B7" w:rsidRDefault="0068702B" w:rsidP="00E016F3">
      <w:pPr>
        <w:jc w:val="both"/>
        <w:rPr>
          <w:rFonts w:ascii="Arial" w:hAnsi="Arial" w:cs="Arial"/>
          <w:b/>
          <w:sz w:val="24"/>
          <w:szCs w:val="24"/>
        </w:rPr>
      </w:pPr>
      <w:r w:rsidRPr="00C038B7">
        <w:rPr>
          <w:rFonts w:ascii="Arial" w:hAnsi="Arial" w:cs="Arial"/>
          <w:b/>
          <w:sz w:val="24"/>
          <w:szCs w:val="24"/>
        </w:rPr>
        <w:t xml:space="preserve">Subprogramas </w:t>
      </w:r>
      <w:r w:rsidR="00FB2528">
        <w:rPr>
          <w:rFonts w:ascii="Arial" w:hAnsi="Arial" w:cs="Arial"/>
          <w:b/>
          <w:sz w:val="24"/>
          <w:szCs w:val="24"/>
        </w:rPr>
        <w:t xml:space="preserve">del INDEPEDI </w:t>
      </w:r>
      <w:r w:rsidRPr="00C038B7">
        <w:rPr>
          <w:rFonts w:ascii="Arial" w:hAnsi="Arial" w:cs="Arial"/>
          <w:b/>
          <w:sz w:val="24"/>
          <w:szCs w:val="24"/>
        </w:rPr>
        <w:t>enfocados a los ámbitos de participación</w:t>
      </w:r>
      <w:r w:rsidR="00FB2528">
        <w:rPr>
          <w:rFonts w:ascii="Arial" w:hAnsi="Arial" w:cs="Arial"/>
          <w:b/>
          <w:sz w:val="24"/>
          <w:szCs w:val="24"/>
        </w:rPr>
        <w:t>:</w:t>
      </w:r>
      <w:r w:rsidRPr="00C038B7">
        <w:rPr>
          <w:rFonts w:ascii="Arial" w:hAnsi="Arial" w:cs="Arial"/>
          <w:b/>
          <w:sz w:val="24"/>
          <w:szCs w:val="24"/>
        </w:rPr>
        <w:t xml:space="preserve"> </w:t>
      </w:r>
    </w:p>
    <w:p w:rsidR="0068702B" w:rsidRPr="00C038B7" w:rsidRDefault="0068702B" w:rsidP="00E016F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038B7">
        <w:rPr>
          <w:rFonts w:ascii="Arial" w:hAnsi="Arial" w:cs="Arial"/>
          <w:sz w:val="24"/>
          <w:szCs w:val="24"/>
        </w:rPr>
        <w:t>Salud</w:t>
      </w:r>
    </w:p>
    <w:p w:rsidR="0068702B" w:rsidRPr="00C038B7" w:rsidRDefault="0068702B" w:rsidP="00E016F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038B7">
        <w:rPr>
          <w:rFonts w:ascii="Arial" w:hAnsi="Arial" w:cs="Arial"/>
          <w:sz w:val="24"/>
          <w:szCs w:val="24"/>
        </w:rPr>
        <w:t xml:space="preserve">Educación </w:t>
      </w:r>
    </w:p>
    <w:p w:rsidR="0068702B" w:rsidRPr="00C038B7" w:rsidRDefault="0068702B" w:rsidP="00E016F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038B7">
        <w:rPr>
          <w:rFonts w:ascii="Arial" w:hAnsi="Arial" w:cs="Arial"/>
          <w:sz w:val="24"/>
          <w:szCs w:val="24"/>
        </w:rPr>
        <w:t xml:space="preserve">Trabajo </w:t>
      </w:r>
    </w:p>
    <w:p w:rsidR="0068702B" w:rsidRPr="00C038B7" w:rsidRDefault="0068702B" w:rsidP="00E016F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038B7">
        <w:rPr>
          <w:rFonts w:ascii="Arial" w:hAnsi="Arial" w:cs="Arial"/>
          <w:sz w:val="24"/>
          <w:szCs w:val="24"/>
        </w:rPr>
        <w:t>Vivienda</w:t>
      </w:r>
    </w:p>
    <w:p w:rsidR="0068702B" w:rsidRPr="00C038B7" w:rsidRDefault="0068702B" w:rsidP="00E016F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038B7">
        <w:rPr>
          <w:rFonts w:ascii="Arial" w:hAnsi="Arial" w:cs="Arial"/>
          <w:sz w:val="24"/>
          <w:szCs w:val="24"/>
        </w:rPr>
        <w:t>Cultura, Recreación y Deporte</w:t>
      </w:r>
    </w:p>
    <w:p w:rsidR="0068702B" w:rsidRPr="00C038B7" w:rsidRDefault="0068702B" w:rsidP="00E016F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038B7">
        <w:rPr>
          <w:rFonts w:ascii="Arial" w:hAnsi="Arial" w:cs="Arial"/>
          <w:sz w:val="24"/>
          <w:szCs w:val="24"/>
        </w:rPr>
        <w:t>Justicia</w:t>
      </w:r>
    </w:p>
    <w:p w:rsidR="0068702B" w:rsidRPr="00C038B7" w:rsidRDefault="0068702B" w:rsidP="00E016F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038B7">
        <w:rPr>
          <w:rFonts w:ascii="Arial" w:hAnsi="Arial" w:cs="Arial"/>
          <w:sz w:val="24"/>
          <w:szCs w:val="24"/>
        </w:rPr>
        <w:t>Participación en la vida política y pública</w:t>
      </w:r>
    </w:p>
    <w:p w:rsidR="00FA2909" w:rsidRPr="00C038B7" w:rsidRDefault="00FA2909" w:rsidP="00E016F3">
      <w:pPr>
        <w:jc w:val="both"/>
        <w:rPr>
          <w:rFonts w:ascii="Arial" w:hAnsi="Arial" w:cs="Arial"/>
          <w:b/>
          <w:sz w:val="24"/>
          <w:szCs w:val="24"/>
        </w:rPr>
      </w:pPr>
      <w:r w:rsidRPr="00C038B7">
        <w:rPr>
          <w:rFonts w:ascii="Arial" w:hAnsi="Arial" w:cs="Arial"/>
          <w:b/>
          <w:sz w:val="24"/>
          <w:szCs w:val="24"/>
        </w:rPr>
        <w:t>Herramientas de apoyo para el fortalecimiento del PID-PCD-2014-2018</w:t>
      </w:r>
    </w:p>
    <w:p w:rsidR="00FA2909" w:rsidRDefault="00FA2909" w:rsidP="00E016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8B7">
        <w:rPr>
          <w:rFonts w:ascii="Arial" w:hAnsi="Arial" w:cs="Arial"/>
          <w:sz w:val="24"/>
          <w:szCs w:val="24"/>
        </w:rPr>
        <w:t>1.- Mecanismo de Seguimiento y Evaluación del PID-PCD-2014-2018</w:t>
      </w:r>
      <w:r w:rsidR="00A4199B">
        <w:rPr>
          <w:rFonts w:ascii="Arial" w:hAnsi="Arial" w:cs="Arial"/>
          <w:sz w:val="24"/>
          <w:szCs w:val="24"/>
        </w:rPr>
        <w:t>.</w:t>
      </w:r>
    </w:p>
    <w:p w:rsidR="00B82933" w:rsidRDefault="00B82933" w:rsidP="00E016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2933" w:rsidRPr="00F90675" w:rsidRDefault="00B82933" w:rsidP="00F9067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675">
        <w:rPr>
          <w:rFonts w:ascii="Arial" w:hAnsi="Arial" w:cs="Arial"/>
          <w:sz w:val="24"/>
          <w:szCs w:val="24"/>
        </w:rPr>
        <w:t>Se elaborarán informes mensuales sobre las acciones que realiza la Secretaría de Cultura en el cumplimiento del PID-PCD 2014-2018.</w:t>
      </w:r>
    </w:p>
    <w:p w:rsidR="00B82933" w:rsidRDefault="00B82933" w:rsidP="00E016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2909" w:rsidRPr="00C038B7" w:rsidRDefault="00FA2909" w:rsidP="00E016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8B7">
        <w:rPr>
          <w:rFonts w:ascii="Arial" w:hAnsi="Arial" w:cs="Arial"/>
          <w:sz w:val="24"/>
          <w:szCs w:val="24"/>
        </w:rPr>
        <w:t>2.- Registro y credencialización</w:t>
      </w:r>
      <w:r w:rsidR="00A4199B">
        <w:rPr>
          <w:rFonts w:ascii="Arial" w:hAnsi="Arial" w:cs="Arial"/>
          <w:sz w:val="24"/>
          <w:szCs w:val="24"/>
        </w:rPr>
        <w:t>.</w:t>
      </w:r>
      <w:r w:rsidRPr="00C038B7">
        <w:rPr>
          <w:rFonts w:ascii="Arial" w:hAnsi="Arial" w:cs="Arial"/>
          <w:sz w:val="24"/>
          <w:szCs w:val="24"/>
        </w:rPr>
        <w:t xml:space="preserve"> </w:t>
      </w:r>
    </w:p>
    <w:p w:rsidR="00B82933" w:rsidRDefault="00B82933" w:rsidP="00E016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2909" w:rsidRDefault="00FA2909" w:rsidP="00E016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8B7">
        <w:rPr>
          <w:rFonts w:ascii="Arial" w:hAnsi="Arial" w:cs="Arial"/>
          <w:sz w:val="24"/>
          <w:szCs w:val="24"/>
        </w:rPr>
        <w:t>3.- Consejo Consultivo</w:t>
      </w:r>
      <w:r w:rsidR="00A4199B">
        <w:rPr>
          <w:rFonts w:ascii="Arial" w:hAnsi="Arial" w:cs="Arial"/>
          <w:sz w:val="24"/>
          <w:szCs w:val="24"/>
        </w:rPr>
        <w:t>.</w:t>
      </w:r>
    </w:p>
    <w:p w:rsidR="009E461B" w:rsidRPr="00C038B7" w:rsidRDefault="009E461B" w:rsidP="00E016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2909" w:rsidRPr="00C038B7" w:rsidRDefault="00FA2909" w:rsidP="00E016F3">
      <w:pPr>
        <w:jc w:val="both"/>
        <w:rPr>
          <w:rFonts w:ascii="Arial" w:hAnsi="Arial" w:cs="Arial"/>
          <w:b/>
          <w:sz w:val="24"/>
          <w:szCs w:val="24"/>
        </w:rPr>
      </w:pPr>
      <w:r w:rsidRPr="00C038B7">
        <w:rPr>
          <w:rFonts w:ascii="Arial" w:hAnsi="Arial" w:cs="Arial"/>
          <w:b/>
          <w:sz w:val="24"/>
          <w:szCs w:val="24"/>
        </w:rPr>
        <w:t>Elementos que integran el PID-PCD 2014-2018</w:t>
      </w:r>
    </w:p>
    <w:p w:rsidR="00FA2909" w:rsidRPr="00C038B7" w:rsidRDefault="00FA2909" w:rsidP="00E016F3">
      <w:pPr>
        <w:jc w:val="both"/>
        <w:rPr>
          <w:rFonts w:ascii="Arial" w:hAnsi="Arial" w:cs="Arial"/>
          <w:sz w:val="24"/>
          <w:szCs w:val="24"/>
        </w:rPr>
      </w:pPr>
      <w:r w:rsidRPr="00C038B7">
        <w:rPr>
          <w:rFonts w:ascii="Arial" w:hAnsi="Arial" w:cs="Arial"/>
          <w:sz w:val="24"/>
          <w:szCs w:val="24"/>
        </w:rPr>
        <w:t xml:space="preserve">Para el INDEPEDI, la Integración al Desarrollo, involucra la participación activa y permanente de las Personas con Discapacidad en todos los Ámbitos de la vida diaria, principalmente en el Social, Económico, Político, Cultural y Recreativo. Por lo que las Acciones Prioritarias que contribuyen a la Integración al Desarrollo de las Personas con Discapacidad se desarrollan a través de: </w:t>
      </w:r>
    </w:p>
    <w:p w:rsidR="00FA2909" w:rsidRPr="00C038B7" w:rsidRDefault="00FA2909" w:rsidP="00E016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38B7">
        <w:rPr>
          <w:rFonts w:ascii="Arial" w:hAnsi="Arial" w:cs="Arial"/>
          <w:sz w:val="24"/>
          <w:szCs w:val="24"/>
        </w:rPr>
        <w:lastRenderedPageBreak/>
        <w:t xml:space="preserve">Los Programas de Salud y Rehabilitación dirigidos a mejorar la calidad de vida de este grupo de población; </w:t>
      </w:r>
    </w:p>
    <w:p w:rsidR="00062015" w:rsidRPr="00C038B7" w:rsidRDefault="00062015" w:rsidP="00E016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B2528">
        <w:rPr>
          <w:rFonts w:ascii="Arial" w:hAnsi="Arial" w:cs="Arial"/>
          <w:b/>
          <w:sz w:val="24"/>
          <w:szCs w:val="24"/>
        </w:rPr>
        <w:t>El acceso oportuno a la Educación en todos sus niveles</w:t>
      </w:r>
      <w:r w:rsidRPr="00C038B7">
        <w:rPr>
          <w:rFonts w:ascii="Arial" w:hAnsi="Arial" w:cs="Arial"/>
          <w:sz w:val="24"/>
          <w:szCs w:val="24"/>
        </w:rPr>
        <w:t xml:space="preserve">, sin ninguna restricción, conforme lo establecen la Constitución Política de los Estados Unidos Mexicanos, la Ley General de Educación y la propia Normatividad del Distrito Federal; </w:t>
      </w:r>
    </w:p>
    <w:p w:rsidR="00062015" w:rsidRPr="00C038B7" w:rsidRDefault="00062015" w:rsidP="00E016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38B7">
        <w:rPr>
          <w:rFonts w:ascii="Arial" w:hAnsi="Arial" w:cs="Arial"/>
          <w:sz w:val="24"/>
          <w:szCs w:val="24"/>
        </w:rPr>
        <w:t xml:space="preserve">El Trabajo y </w:t>
      </w:r>
      <w:r w:rsidRPr="00C61FA8">
        <w:rPr>
          <w:rFonts w:ascii="Arial" w:hAnsi="Arial" w:cs="Arial"/>
          <w:b/>
          <w:sz w:val="24"/>
          <w:szCs w:val="24"/>
        </w:rPr>
        <w:t>los Programas de incorporación al mercado laboral, facilitando su contratación, promoción y permanencia en el empleo</w:t>
      </w:r>
      <w:r w:rsidRPr="00C038B7">
        <w:rPr>
          <w:rFonts w:ascii="Arial" w:hAnsi="Arial" w:cs="Arial"/>
          <w:sz w:val="24"/>
          <w:szCs w:val="24"/>
        </w:rPr>
        <w:t xml:space="preserve">, tanto en Entidades Públicas como Privadas; </w:t>
      </w:r>
    </w:p>
    <w:p w:rsidR="00062015" w:rsidRPr="00C038B7" w:rsidRDefault="00062015" w:rsidP="00E016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1FA8">
        <w:rPr>
          <w:rFonts w:ascii="Arial" w:hAnsi="Arial" w:cs="Arial"/>
          <w:b/>
          <w:sz w:val="24"/>
          <w:szCs w:val="24"/>
        </w:rPr>
        <w:t>Los Programas de Accesibilidad Universal que les garanticen el acceso, en igualdad de condiciones con las demás personas, al entorno físico, al transporte y las comunicaciones</w:t>
      </w:r>
      <w:r w:rsidRPr="00C038B7">
        <w:rPr>
          <w:rFonts w:ascii="Arial" w:hAnsi="Arial" w:cs="Arial"/>
          <w:sz w:val="24"/>
          <w:szCs w:val="24"/>
        </w:rPr>
        <w:t xml:space="preserve">; y </w:t>
      </w:r>
    </w:p>
    <w:p w:rsidR="00062015" w:rsidRPr="00C038B7" w:rsidRDefault="00062015" w:rsidP="00E016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1FA8">
        <w:rPr>
          <w:rFonts w:ascii="Arial" w:hAnsi="Arial" w:cs="Arial"/>
          <w:b/>
          <w:sz w:val="24"/>
          <w:szCs w:val="24"/>
        </w:rPr>
        <w:t>Los Programas que les garantices el disfrute y la participación en las actividades culturales, recreativas</w:t>
      </w:r>
      <w:r w:rsidRPr="00C038B7">
        <w:rPr>
          <w:rFonts w:ascii="Arial" w:hAnsi="Arial" w:cs="Arial"/>
          <w:sz w:val="24"/>
          <w:szCs w:val="24"/>
        </w:rPr>
        <w:t xml:space="preserve"> y deportivas. </w:t>
      </w:r>
    </w:p>
    <w:p w:rsidR="009E461B" w:rsidRPr="009E461B" w:rsidRDefault="00523E89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Las acciones que se realicen en la Secretaría de Cultura </w:t>
      </w:r>
      <w:r w:rsidR="00B81A9E">
        <w:rPr>
          <w:rFonts w:ascii="Arial" w:hAnsi="Arial" w:cs="Arial"/>
          <w:b/>
          <w:bCs/>
          <w:sz w:val="24"/>
          <w:szCs w:val="24"/>
        </w:rPr>
        <w:t xml:space="preserve">serán seguidas y evaluadas por el </w:t>
      </w:r>
      <w:r w:rsidR="009E461B" w:rsidRPr="009E461B">
        <w:rPr>
          <w:rFonts w:ascii="Arial" w:hAnsi="Arial" w:cs="Arial"/>
          <w:b/>
          <w:bCs/>
          <w:sz w:val="24"/>
          <w:szCs w:val="24"/>
        </w:rPr>
        <w:t xml:space="preserve">Subprograma </w:t>
      </w:r>
      <w:r w:rsidR="00B81A9E">
        <w:rPr>
          <w:rFonts w:ascii="Arial" w:hAnsi="Arial" w:cs="Arial"/>
          <w:b/>
          <w:bCs/>
          <w:sz w:val="24"/>
          <w:szCs w:val="24"/>
        </w:rPr>
        <w:t xml:space="preserve">del INDEPEDI denominado </w:t>
      </w:r>
      <w:r w:rsidR="009E461B" w:rsidRPr="00B81A9E">
        <w:rPr>
          <w:rFonts w:ascii="Arial" w:hAnsi="Arial" w:cs="Arial"/>
          <w:b/>
          <w:bCs/>
          <w:i/>
          <w:sz w:val="24"/>
          <w:szCs w:val="24"/>
        </w:rPr>
        <w:t>Cultura, Recreación y Deporte</w:t>
      </w:r>
      <w:r w:rsidR="00B81A9E">
        <w:rPr>
          <w:rFonts w:ascii="Arial" w:hAnsi="Arial" w:cs="Arial"/>
          <w:b/>
          <w:bCs/>
          <w:i/>
          <w:sz w:val="24"/>
          <w:szCs w:val="24"/>
        </w:rPr>
        <w:t xml:space="preserve">, que tiene como objetivo: </w:t>
      </w:r>
    </w:p>
    <w:p w:rsidR="009E461B" w:rsidRPr="00523E89" w:rsidRDefault="009E461B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3E89">
        <w:rPr>
          <w:rFonts w:ascii="Arial" w:hAnsi="Arial" w:cs="Arial"/>
          <w:b/>
          <w:sz w:val="24"/>
          <w:szCs w:val="24"/>
        </w:rPr>
        <w:t>Impulsar el derecho de las Personas con Discapacidad a la vida cultural, los espacios de expresión artística, recreativa y deportiva de la Ciudad, en igualdad de condiciones, fomentando una cultura de respeto e inclusión.</w:t>
      </w:r>
    </w:p>
    <w:p w:rsidR="00C038B7" w:rsidRDefault="00C038B7" w:rsidP="00E016F3">
      <w:pPr>
        <w:jc w:val="both"/>
        <w:rPr>
          <w:rFonts w:ascii="Arial" w:hAnsi="Arial" w:cs="Arial"/>
          <w:i/>
          <w:sz w:val="24"/>
          <w:szCs w:val="24"/>
        </w:rPr>
      </w:pPr>
    </w:p>
    <w:p w:rsidR="00B81A9E" w:rsidRDefault="00B81A9E" w:rsidP="00E016F3">
      <w:pPr>
        <w:jc w:val="both"/>
        <w:rPr>
          <w:rFonts w:ascii="Arial" w:hAnsi="Arial" w:cs="Arial"/>
          <w:b/>
          <w:sz w:val="24"/>
          <w:szCs w:val="24"/>
        </w:rPr>
      </w:pPr>
      <w:r w:rsidRPr="00B81A9E">
        <w:rPr>
          <w:rFonts w:ascii="Arial" w:hAnsi="Arial" w:cs="Arial"/>
          <w:b/>
          <w:sz w:val="24"/>
          <w:szCs w:val="24"/>
        </w:rPr>
        <w:t xml:space="preserve">Elementos estadísticos del PID-PCD 2014-2018 para la realización de acciones en favor de las personas con discapacidad. </w:t>
      </w:r>
    </w:p>
    <w:tbl>
      <w:tblPr>
        <w:tblStyle w:val="Tablaconcuadrcula"/>
        <w:tblW w:w="7769" w:type="dxa"/>
        <w:tblInd w:w="1067" w:type="dxa"/>
        <w:tblLook w:val="04A0" w:firstRow="1" w:lastRow="0" w:firstColumn="1" w:lastColumn="0" w:noHBand="0" w:noVBand="1"/>
      </w:tblPr>
      <w:tblGrid>
        <w:gridCol w:w="2409"/>
        <w:gridCol w:w="1418"/>
        <w:gridCol w:w="1365"/>
        <w:gridCol w:w="1328"/>
        <w:gridCol w:w="1249"/>
      </w:tblGrid>
      <w:tr w:rsidR="002A11C1" w:rsidRPr="0069550E" w:rsidTr="00CF501B">
        <w:tc>
          <w:tcPr>
            <w:tcW w:w="7769" w:type="dxa"/>
            <w:gridSpan w:val="5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b/>
                <w:sz w:val="20"/>
                <w:szCs w:val="20"/>
              </w:rPr>
              <w:t>Cuadro 1</w:t>
            </w:r>
          </w:p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b/>
                <w:sz w:val="20"/>
                <w:szCs w:val="20"/>
              </w:rPr>
              <w:t>Población total y con discapacidad en el Distrito Federal en 2010 (absoluta y relativa) según delegación</w:t>
            </w:r>
          </w:p>
        </w:tc>
      </w:tr>
      <w:tr w:rsidR="002A11C1" w:rsidRPr="0069550E" w:rsidTr="00CF501B">
        <w:tc>
          <w:tcPr>
            <w:tcW w:w="2409" w:type="dxa"/>
            <w:vMerge w:val="restart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Delegación </w:t>
            </w:r>
          </w:p>
        </w:tc>
        <w:tc>
          <w:tcPr>
            <w:tcW w:w="2783" w:type="dxa"/>
            <w:gridSpan w:val="2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b/>
                <w:sz w:val="20"/>
                <w:szCs w:val="20"/>
              </w:rPr>
              <w:t>Población total</w:t>
            </w:r>
          </w:p>
        </w:tc>
        <w:tc>
          <w:tcPr>
            <w:tcW w:w="2577" w:type="dxa"/>
            <w:gridSpan w:val="2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b/>
                <w:sz w:val="20"/>
                <w:szCs w:val="20"/>
              </w:rPr>
              <w:t>Población con discapacidad</w:t>
            </w:r>
          </w:p>
        </w:tc>
      </w:tr>
      <w:tr w:rsidR="002A11C1" w:rsidRPr="0069550E" w:rsidTr="00CF501B">
        <w:tc>
          <w:tcPr>
            <w:tcW w:w="2409" w:type="dxa"/>
            <w:vMerge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b/>
                <w:sz w:val="20"/>
                <w:szCs w:val="20"/>
              </w:rPr>
              <w:t>Abs.</w:t>
            </w:r>
          </w:p>
        </w:tc>
        <w:tc>
          <w:tcPr>
            <w:tcW w:w="1365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b/>
                <w:sz w:val="20"/>
                <w:szCs w:val="20"/>
              </w:rPr>
              <w:t>Rel.</w:t>
            </w:r>
          </w:p>
        </w:tc>
        <w:tc>
          <w:tcPr>
            <w:tcW w:w="1328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b/>
                <w:sz w:val="20"/>
                <w:szCs w:val="20"/>
              </w:rPr>
              <w:t>Abs.</w:t>
            </w:r>
          </w:p>
        </w:tc>
        <w:tc>
          <w:tcPr>
            <w:tcW w:w="1249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b/>
                <w:sz w:val="20"/>
                <w:szCs w:val="20"/>
              </w:rPr>
              <w:t>Rel.</w:t>
            </w:r>
          </w:p>
        </w:tc>
      </w:tr>
      <w:tr w:rsidR="002A11C1" w:rsidRPr="0069550E" w:rsidTr="00CF501B">
        <w:tc>
          <w:tcPr>
            <w:tcW w:w="2409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Álvaro Obregón </w:t>
            </w:r>
          </w:p>
        </w:tc>
        <w:tc>
          <w:tcPr>
            <w:tcW w:w="1418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717,204</w:t>
            </w:r>
          </w:p>
        </w:tc>
        <w:tc>
          <w:tcPr>
            <w:tcW w:w="1365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8.20%</w:t>
            </w:r>
          </w:p>
        </w:tc>
        <w:tc>
          <w:tcPr>
            <w:tcW w:w="1328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33,409</w:t>
            </w:r>
          </w:p>
        </w:tc>
        <w:tc>
          <w:tcPr>
            <w:tcW w:w="1249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6.93%</w:t>
            </w:r>
          </w:p>
        </w:tc>
      </w:tr>
      <w:tr w:rsidR="002A11C1" w:rsidRPr="0069550E" w:rsidTr="00CF501B">
        <w:tc>
          <w:tcPr>
            <w:tcW w:w="2409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b/>
                <w:sz w:val="20"/>
                <w:szCs w:val="20"/>
              </w:rPr>
              <w:t>Azcapotzalco</w:t>
            </w:r>
          </w:p>
        </w:tc>
        <w:tc>
          <w:tcPr>
            <w:tcW w:w="1418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413.890</w:t>
            </w:r>
          </w:p>
        </w:tc>
        <w:tc>
          <w:tcPr>
            <w:tcW w:w="1365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4.73%</w:t>
            </w:r>
          </w:p>
        </w:tc>
        <w:tc>
          <w:tcPr>
            <w:tcW w:w="1328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25,110</w:t>
            </w:r>
          </w:p>
        </w:tc>
        <w:tc>
          <w:tcPr>
            <w:tcW w:w="1249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5.21%</w:t>
            </w:r>
          </w:p>
        </w:tc>
      </w:tr>
      <w:tr w:rsidR="002A11C1" w:rsidRPr="0069550E" w:rsidTr="00CF501B">
        <w:tc>
          <w:tcPr>
            <w:tcW w:w="2409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b/>
                <w:sz w:val="20"/>
                <w:szCs w:val="20"/>
              </w:rPr>
              <w:t>Benito Juárez</w:t>
            </w:r>
          </w:p>
        </w:tc>
        <w:tc>
          <w:tcPr>
            <w:tcW w:w="1418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378,741%</w:t>
            </w:r>
          </w:p>
        </w:tc>
        <w:tc>
          <w:tcPr>
            <w:tcW w:w="1365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4.33%</w:t>
            </w:r>
          </w:p>
        </w:tc>
        <w:tc>
          <w:tcPr>
            <w:tcW w:w="1328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20,087</w:t>
            </w:r>
          </w:p>
        </w:tc>
        <w:tc>
          <w:tcPr>
            <w:tcW w:w="1249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4.17%</w:t>
            </w:r>
          </w:p>
        </w:tc>
      </w:tr>
      <w:tr w:rsidR="002A11C1" w:rsidRPr="0069550E" w:rsidTr="00CF501B">
        <w:tc>
          <w:tcPr>
            <w:tcW w:w="2409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b/>
                <w:sz w:val="20"/>
                <w:szCs w:val="20"/>
              </w:rPr>
              <w:t>Coyoacán</w:t>
            </w:r>
          </w:p>
        </w:tc>
        <w:tc>
          <w:tcPr>
            <w:tcW w:w="1418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615,772</w:t>
            </w:r>
          </w:p>
        </w:tc>
        <w:tc>
          <w:tcPr>
            <w:tcW w:w="1365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7.04%</w:t>
            </w:r>
          </w:p>
        </w:tc>
        <w:tc>
          <w:tcPr>
            <w:tcW w:w="1328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40,817</w:t>
            </w:r>
          </w:p>
        </w:tc>
        <w:tc>
          <w:tcPr>
            <w:tcW w:w="1249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8.47%</w:t>
            </w:r>
          </w:p>
        </w:tc>
      </w:tr>
      <w:tr w:rsidR="002A11C1" w:rsidRPr="0069550E" w:rsidTr="00CF501B">
        <w:tc>
          <w:tcPr>
            <w:tcW w:w="2409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Cuajimalpa </w:t>
            </w:r>
          </w:p>
        </w:tc>
        <w:tc>
          <w:tcPr>
            <w:tcW w:w="1418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182,973</w:t>
            </w:r>
          </w:p>
        </w:tc>
        <w:tc>
          <w:tcPr>
            <w:tcW w:w="1365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2.09%</w:t>
            </w:r>
          </w:p>
        </w:tc>
        <w:tc>
          <w:tcPr>
            <w:tcW w:w="1328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8,115</w:t>
            </w:r>
          </w:p>
        </w:tc>
        <w:tc>
          <w:tcPr>
            <w:tcW w:w="1249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1.68%</w:t>
            </w:r>
          </w:p>
        </w:tc>
      </w:tr>
      <w:tr w:rsidR="002A11C1" w:rsidRPr="0069550E" w:rsidTr="00CF501B">
        <w:tc>
          <w:tcPr>
            <w:tcW w:w="2409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b/>
                <w:sz w:val="20"/>
                <w:szCs w:val="20"/>
              </w:rPr>
              <w:t>Cuauhtémoc</w:t>
            </w:r>
          </w:p>
        </w:tc>
        <w:tc>
          <w:tcPr>
            <w:tcW w:w="1418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524,525</w:t>
            </w:r>
          </w:p>
        </w:tc>
        <w:tc>
          <w:tcPr>
            <w:tcW w:w="1365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6.00%</w:t>
            </w:r>
          </w:p>
        </w:tc>
        <w:tc>
          <w:tcPr>
            <w:tcW w:w="1328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29,167</w:t>
            </w:r>
          </w:p>
        </w:tc>
        <w:tc>
          <w:tcPr>
            <w:tcW w:w="1249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6.05%</w:t>
            </w:r>
          </w:p>
        </w:tc>
      </w:tr>
      <w:tr w:rsidR="002A11C1" w:rsidRPr="0069550E" w:rsidTr="00CF501B">
        <w:tc>
          <w:tcPr>
            <w:tcW w:w="2409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b/>
                <w:sz w:val="20"/>
                <w:szCs w:val="20"/>
              </w:rPr>
              <w:t>Gustavo A. Madero</w:t>
            </w:r>
          </w:p>
        </w:tc>
        <w:tc>
          <w:tcPr>
            <w:tcW w:w="1418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1,170,170</w:t>
            </w:r>
          </w:p>
        </w:tc>
        <w:tc>
          <w:tcPr>
            <w:tcW w:w="1365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13.38%</w:t>
            </w:r>
          </w:p>
        </w:tc>
        <w:tc>
          <w:tcPr>
            <w:tcW w:w="1328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67,147</w:t>
            </w:r>
          </w:p>
        </w:tc>
        <w:tc>
          <w:tcPr>
            <w:tcW w:w="1249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13.94%</w:t>
            </w:r>
          </w:p>
        </w:tc>
      </w:tr>
      <w:tr w:rsidR="002A11C1" w:rsidRPr="0069550E" w:rsidTr="00CF501B">
        <w:tc>
          <w:tcPr>
            <w:tcW w:w="2409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b/>
                <w:sz w:val="20"/>
                <w:szCs w:val="20"/>
              </w:rPr>
              <w:t>Iztacalco</w:t>
            </w:r>
          </w:p>
        </w:tc>
        <w:tc>
          <w:tcPr>
            <w:tcW w:w="1418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383,051</w:t>
            </w:r>
          </w:p>
        </w:tc>
        <w:tc>
          <w:tcPr>
            <w:tcW w:w="1365" w:type="dxa"/>
          </w:tcPr>
          <w:p w:rsidR="002A11C1" w:rsidRPr="0069550E" w:rsidRDefault="003F018E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4.38%</w:t>
            </w:r>
          </w:p>
        </w:tc>
        <w:tc>
          <w:tcPr>
            <w:tcW w:w="1328" w:type="dxa"/>
          </w:tcPr>
          <w:p w:rsidR="002A11C1" w:rsidRPr="0069550E" w:rsidRDefault="003F018E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21,119</w:t>
            </w:r>
          </w:p>
        </w:tc>
        <w:tc>
          <w:tcPr>
            <w:tcW w:w="1249" w:type="dxa"/>
          </w:tcPr>
          <w:p w:rsidR="002A11C1" w:rsidRPr="0069550E" w:rsidRDefault="003F018E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4.38%</w:t>
            </w:r>
          </w:p>
        </w:tc>
      </w:tr>
      <w:tr w:rsidR="002A11C1" w:rsidRPr="0069550E" w:rsidTr="00CF501B">
        <w:tc>
          <w:tcPr>
            <w:tcW w:w="2409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b/>
                <w:sz w:val="20"/>
                <w:szCs w:val="20"/>
              </w:rPr>
              <w:t>Iztapalapa</w:t>
            </w:r>
          </w:p>
        </w:tc>
        <w:tc>
          <w:tcPr>
            <w:tcW w:w="1418" w:type="dxa"/>
          </w:tcPr>
          <w:p w:rsidR="002A11C1" w:rsidRPr="0069550E" w:rsidRDefault="003F018E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1,792,891</w:t>
            </w:r>
          </w:p>
        </w:tc>
        <w:tc>
          <w:tcPr>
            <w:tcW w:w="1365" w:type="dxa"/>
          </w:tcPr>
          <w:p w:rsidR="002A11C1" w:rsidRPr="0069550E" w:rsidRDefault="003F018E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20.50%</w:t>
            </w:r>
          </w:p>
        </w:tc>
        <w:tc>
          <w:tcPr>
            <w:tcW w:w="1328" w:type="dxa"/>
          </w:tcPr>
          <w:p w:rsidR="002A11C1" w:rsidRPr="0069550E" w:rsidRDefault="003F018E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100,919</w:t>
            </w:r>
          </w:p>
        </w:tc>
        <w:tc>
          <w:tcPr>
            <w:tcW w:w="1249" w:type="dxa"/>
          </w:tcPr>
          <w:p w:rsidR="002A11C1" w:rsidRPr="0069550E" w:rsidRDefault="003F018E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20.94%</w:t>
            </w:r>
          </w:p>
        </w:tc>
      </w:tr>
      <w:tr w:rsidR="002A11C1" w:rsidRPr="0069550E" w:rsidTr="00CF501B">
        <w:tc>
          <w:tcPr>
            <w:tcW w:w="2409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b/>
                <w:sz w:val="20"/>
                <w:szCs w:val="20"/>
              </w:rPr>
              <w:t>Magdalena Contreras</w:t>
            </w:r>
          </w:p>
        </w:tc>
        <w:tc>
          <w:tcPr>
            <w:tcW w:w="1418" w:type="dxa"/>
          </w:tcPr>
          <w:p w:rsidR="002A11C1" w:rsidRPr="0069550E" w:rsidRDefault="003F018E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236,204</w:t>
            </w:r>
          </w:p>
        </w:tc>
        <w:tc>
          <w:tcPr>
            <w:tcW w:w="1365" w:type="dxa"/>
          </w:tcPr>
          <w:p w:rsidR="002A11C1" w:rsidRPr="0069550E" w:rsidRDefault="003F018E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2.70%</w:t>
            </w:r>
          </w:p>
        </w:tc>
        <w:tc>
          <w:tcPr>
            <w:tcW w:w="1328" w:type="dxa"/>
          </w:tcPr>
          <w:p w:rsidR="002A11C1" w:rsidRPr="0069550E" w:rsidRDefault="003F018E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11,194</w:t>
            </w:r>
          </w:p>
        </w:tc>
        <w:tc>
          <w:tcPr>
            <w:tcW w:w="1249" w:type="dxa"/>
          </w:tcPr>
          <w:p w:rsidR="002A11C1" w:rsidRPr="0069550E" w:rsidRDefault="003F018E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2.32%</w:t>
            </w:r>
          </w:p>
        </w:tc>
      </w:tr>
      <w:tr w:rsidR="002A11C1" w:rsidRPr="0069550E" w:rsidTr="00CF501B">
        <w:tc>
          <w:tcPr>
            <w:tcW w:w="2409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b/>
                <w:sz w:val="20"/>
                <w:szCs w:val="20"/>
              </w:rPr>
              <w:t>Miguel Hidalgo</w:t>
            </w:r>
          </w:p>
        </w:tc>
        <w:tc>
          <w:tcPr>
            <w:tcW w:w="1418" w:type="dxa"/>
          </w:tcPr>
          <w:p w:rsidR="002A11C1" w:rsidRPr="0069550E" w:rsidRDefault="003F018E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363,889</w:t>
            </w:r>
          </w:p>
        </w:tc>
        <w:tc>
          <w:tcPr>
            <w:tcW w:w="1365" w:type="dxa"/>
          </w:tcPr>
          <w:p w:rsidR="002A11C1" w:rsidRPr="0069550E" w:rsidRDefault="003F018E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4.16%</w:t>
            </w:r>
          </w:p>
        </w:tc>
        <w:tc>
          <w:tcPr>
            <w:tcW w:w="1328" w:type="dxa"/>
          </w:tcPr>
          <w:p w:rsidR="002A11C1" w:rsidRPr="0069550E" w:rsidRDefault="003F018E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15,737</w:t>
            </w:r>
          </w:p>
        </w:tc>
        <w:tc>
          <w:tcPr>
            <w:tcW w:w="1249" w:type="dxa"/>
          </w:tcPr>
          <w:p w:rsidR="002A11C1" w:rsidRPr="0069550E" w:rsidRDefault="003F018E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3.27%</w:t>
            </w:r>
          </w:p>
        </w:tc>
      </w:tr>
      <w:tr w:rsidR="002A11C1" w:rsidRPr="0069550E" w:rsidTr="00CF501B">
        <w:tc>
          <w:tcPr>
            <w:tcW w:w="2409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b/>
                <w:sz w:val="20"/>
                <w:szCs w:val="20"/>
              </w:rPr>
              <w:t>Milpa Alta</w:t>
            </w:r>
          </w:p>
        </w:tc>
        <w:tc>
          <w:tcPr>
            <w:tcW w:w="1418" w:type="dxa"/>
          </w:tcPr>
          <w:p w:rsidR="002A11C1" w:rsidRPr="0069550E" w:rsidRDefault="003F018E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129,268</w:t>
            </w:r>
          </w:p>
        </w:tc>
        <w:tc>
          <w:tcPr>
            <w:tcW w:w="1365" w:type="dxa"/>
          </w:tcPr>
          <w:p w:rsidR="002A11C1" w:rsidRPr="0069550E" w:rsidRDefault="003F018E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1.48%</w:t>
            </w:r>
          </w:p>
        </w:tc>
        <w:tc>
          <w:tcPr>
            <w:tcW w:w="1328" w:type="dxa"/>
          </w:tcPr>
          <w:p w:rsidR="002A11C1" w:rsidRPr="0069550E" w:rsidRDefault="003F018E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5,718</w:t>
            </w:r>
          </w:p>
        </w:tc>
        <w:tc>
          <w:tcPr>
            <w:tcW w:w="1249" w:type="dxa"/>
          </w:tcPr>
          <w:p w:rsidR="002A11C1" w:rsidRPr="0069550E" w:rsidRDefault="003F018E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1.19%</w:t>
            </w:r>
          </w:p>
        </w:tc>
      </w:tr>
      <w:tr w:rsidR="002A11C1" w:rsidRPr="0069550E" w:rsidTr="00CF501B">
        <w:tc>
          <w:tcPr>
            <w:tcW w:w="2409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b/>
                <w:sz w:val="20"/>
                <w:szCs w:val="20"/>
              </w:rPr>
              <w:t>Tláhuac</w:t>
            </w:r>
          </w:p>
        </w:tc>
        <w:tc>
          <w:tcPr>
            <w:tcW w:w="1418" w:type="dxa"/>
          </w:tcPr>
          <w:p w:rsidR="002A11C1" w:rsidRPr="0069550E" w:rsidRDefault="003F018E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359,634</w:t>
            </w:r>
          </w:p>
        </w:tc>
        <w:tc>
          <w:tcPr>
            <w:tcW w:w="1365" w:type="dxa"/>
          </w:tcPr>
          <w:p w:rsidR="002A11C1" w:rsidRPr="0069550E" w:rsidRDefault="003F018E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4.11%</w:t>
            </w:r>
          </w:p>
        </w:tc>
        <w:tc>
          <w:tcPr>
            <w:tcW w:w="1328" w:type="dxa"/>
          </w:tcPr>
          <w:p w:rsidR="002A11C1" w:rsidRPr="0069550E" w:rsidRDefault="003F018E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18,784</w:t>
            </w:r>
          </w:p>
        </w:tc>
        <w:tc>
          <w:tcPr>
            <w:tcW w:w="1249" w:type="dxa"/>
          </w:tcPr>
          <w:p w:rsidR="002A11C1" w:rsidRPr="0069550E" w:rsidRDefault="003F018E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3.90%</w:t>
            </w:r>
          </w:p>
        </w:tc>
      </w:tr>
      <w:tr w:rsidR="002A11C1" w:rsidRPr="0069550E" w:rsidTr="00CF501B">
        <w:tc>
          <w:tcPr>
            <w:tcW w:w="2409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b/>
                <w:sz w:val="20"/>
                <w:szCs w:val="20"/>
              </w:rPr>
              <w:t>Tlalpan</w:t>
            </w:r>
          </w:p>
        </w:tc>
        <w:tc>
          <w:tcPr>
            <w:tcW w:w="1418" w:type="dxa"/>
          </w:tcPr>
          <w:p w:rsidR="002A11C1" w:rsidRPr="0069550E" w:rsidRDefault="00CF501B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641,122</w:t>
            </w:r>
          </w:p>
        </w:tc>
        <w:tc>
          <w:tcPr>
            <w:tcW w:w="1365" w:type="dxa"/>
          </w:tcPr>
          <w:p w:rsidR="002A11C1" w:rsidRPr="0069550E" w:rsidRDefault="00CF501B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7.33%</w:t>
            </w:r>
          </w:p>
        </w:tc>
        <w:tc>
          <w:tcPr>
            <w:tcW w:w="1328" w:type="dxa"/>
          </w:tcPr>
          <w:p w:rsidR="002A11C1" w:rsidRPr="0069550E" w:rsidRDefault="00CF501B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35,349</w:t>
            </w:r>
          </w:p>
        </w:tc>
        <w:tc>
          <w:tcPr>
            <w:tcW w:w="1249" w:type="dxa"/>
          </w:tcPr>
          <w:p w:rsidR="002A11C1" w:rsidRPr="0069550E" w:rsidRDefault="00CF501B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7.34%</w:t>
            </w:r>
          </w:p>
        </w:tc>
      </w:tr>
      <w:tr w:rsidR="002A11C1" w:rsidRPr="0069550E" w:rsidTr="00CF501B">
        <w:tc>
          <w:tcPr>
            <w:tcW w:w="2409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b/>
                <w:sz w:val="20"/>
                <w:szCs w:val="20"/>
              </w:rPr>
              <w:t>Venustiano Carranza</w:t>
            </w:r>
          </w:p>
        </w:tc>
        <w:tc>
          <w:tcPr>
            <w:tcW w:w="1418" w:type="dxa"/>
          </w:tcPr>
          <w:p w:rsidR="002A11C1" w:rsidRPr="0069550E" w:rsidRDefault="00CF501B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429,054</w:t>
            </w:r>
          </w:p>
        </w:tc>
        <w:tc>
          <w:tcPr>
            <w:tcW w:w="1365" w:type="dxa"/>
          </w:tcPr>
          <w:p w:rsidR="002A11C1" w:rsidRPr="0069550E" w:rsidRDefault="00CF501B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4.91%</w:t>
            </w:r>
          </w:p>
        </w:tc>
        <w:tc>
          <w:tcPr>
            <w:tcW w:w="1328" w:type="dxa"/>
          </w:tcPr>
          <w:p w:rsidR="002A11C1" w:rsidRPr="0069550E" w:rsidRDefault="00CF501B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28,122</w:t>
            </w:r>
          </w:p>
        </w:tc>
        <w:tc>
          <w:tcPr>
            <w:tcW w:w="1249" w:type="dxa"/>
          </w:tcPr>
          <w:p w:rsidR="002A11C1" w:rsidRPr="0069550E" w:rsidRDefault="00CF501B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5.84%</w:t>
            </w:r>
          </w:p>
        </w:tc>
      </w:tr>
      <w:tr w:rsidR="002A11C1" w:rsidRPr="0069550E" w:rsidTr="00CF501B">
        <w:tc>
          <w:tcPr>
            <w:tcW w:w="2409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b/>
                <w:sz w:val="20"/>
                <w:szCs w:val="20"/>
              </w:rPr>
              <w:t>Xochimilco</w:t>
            </w:r>
          </w:p>
        </w:tc>
        <w:tc>
          <w:tcPr>
            <w:tcW w:w="1418" w:type="dxa"/>
          </w:tcPr>
          <w:p w:rsidR="002A11C1" w:rsidRPr="0069550E" w:rsidRDefault="00CF501B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407,173</w:t>
            </w:r>
          </w:p>
        </w:tc>
        <w:tc>
          <w:tcPr>
            <w:tcW w:w="1365" w:type="dxa"/>
          </w:tcPr>
          <w:p w:rsidR="002A11C1" w:rsidRPr="0069550E" w:rsidRDefault="00CF501B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4.66%</w:t>
            </w:r>
          </w:p>
        </w:tc>
        <w:tc>
          <w:tcPr>
            <w:tcW w:w="1328" w:type="dxa"/>
          </w:tcPr>
          <w:p w:rsidR="002A11C1" w:rsidRPr="0069550E" w:rsidRDefault="00CF501B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21,053</w:t>
            </w:r>
          </w:p>
        </w:tc>
        <w:tc>
          <w:tcPr>
            <w:tcW w:w="1249" w:type="dxa"/>
          </w:tcPr>
          <w:p w:rsidR="002A11C1" w:rsidRPr="0069550E" w:rsidRDefault="00CF501B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4.37%</w:t>
            </w:r>
          </w:p>
        </w:tc>
      </w:tr>
      <w:tr w:rsidR="002A11C1" w:rsidRPr="0069550E" w:rsidTr="00CF501B">
        <w:tc>
          <w:tcPr>
            <w:tcW w:w="2409" w:type="dxa"/>
          </w:tcPr>
          <w:p w:rsidR="002A11C1" w:rsidRPr="0069550E" w:rsidRDefault="002A11C1" w:rsidP="00E016F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b/>
                <w:sz w:val="20"/>
                <w:szCs w:val="20"/>
              </w:rPr>
              <w:t>Distrito Federal</w:t>
            </w:r>
          </w:p>
        </w:tc>
        <w:tc>
          <w:tcPr>
            <w:tcW w:w="1418" w:type="dxa"/>
          </w:tcPr>
          <w:p w:rsidR="002A11C1" w:rsidRPr="0069550E" w:rsidRDefault="00CF501B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8,745,561</w:t>
            </w:r>
          </w:p>
        </w:tc>
        <w:tc>
          <w:tcPr>
            <w:tcW w:w="1365" w:type="dxa"/>
          </w:tcPr>
          <w:p w:rsidR="002A11C1" w:rsidRPr="0069550E" w:rsidRDefault="00CF501B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100.00%</w:t>
            </w:r>
          </w:p>
        </w:tc>
        <w:tc>
          <w:tcPr>
            <w:tcW w:w="1328" w:type="dxa"/>
          </w:tcPr>
          <w:p w:rsidR="002A11C1" w:rsidRPr="0069550E" w:rsidRDefault="00CF501B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481,847</w:t>
            </w:r>
          </w:p>
        </w:tc>
        <w:tc>
          <w:tcPr>
            <w:tcW w:w="1249" w:type="dxa"/>
          </w:tcPr>
          <w:p w:rsidR="002A11C1" w:rsidRPr="0069550E" w:rsidRDefault="00CF501B" w:rsidP="00E016F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9550E">
              <w:rPr>
                <w:rFonts w:ascii="Arial Narrow" w:hAnsi="Arial Narrow" w:cs="Times New Roman"/>
                <w:sz w:val="20"/>
                <w:szCs w:val="20"/>
              </w:rPr>
              <w:t>100.00%</w:t>
            </w:r>
          </w:p>
        </w:tc>
      </w:tr>
    </w:tbl>
    <w:p w:rsidR="0068702B" w:rsidRDefault="00CF501B" w:rsidP="00E016F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Cálculos del INDEPEDI con base en la muestra del Censo de Población y Vivienda, 2010</w:t>
      </w:r>
    </w:p>
    <w:p w:rsidR="0068702B" w:rsidRPr="002A11C1" w:rsidRDefault="00CF501B" w:rsidP="00E016F3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A11C1">
        <w:rPr>
          <w:rFonts w:ascii="Times New Roman" w:hAnsi="Times New Roman" w:cs="Times New Roman"/>
          <w:sz w:val="20"/>
          <w:szCs w:val="20"/>
        </w:rPr>
        <w:t xml:space="preserve">Fuente: </w:t>
      </w:r>
      <w:r w:rsidR="002A11C1" w:rsidRPr="002A11C1">
        <w:rPr>
          <w:rFonts w:ascii="Times New Roman" w:hAnsi="Times New Roman" w:cs="Times New Roman"/>
          <w:i/>
          <w:sz w:val="20"/>
          <w:szCs w:val="20"/>
        </w:rPr>
        <w:t>PID-PCD-2014-2018.www.indepedi.df.gob.mx</w:t>
      </w:r>
    </w:p>
    <w:p w:rsidR="0068702B" w:rsidRDefault="0068702B" w:rsidP="00E016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702B" w:rsidRDefault="00FE461D" w:rsidP="00E016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MX"/>
        </w:rPr>
        <w:drawing>
          <wp:inline distT="0" distB="0" distL="0" distR="0" wp14:anchorId="50A120C3" wp14:editId="5072C051">
            <wp:extent cx="6106602" cy="1542553"/>
            <wp:effectExtent l="0" t="0" r="27940" b="1968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8702B" w:rsidRDefault="00FE461D" w:rsidP="00E016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MX"/>
        </w:rPr>
        <w:drawing>
          <wp:inline distT="0" distB="0" distL="0" distR="0" wp14:anchorId="5D48B758" wp14:editId="49AE9597">
            <wp:extent cx="6106602" cy="1510748"/>
            <wp:effectExtent l="0" t="0" r="27940" b="1333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8702B" w:rsidRDefault="0068702B" w:rsidP="00E016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8564B">
        <w:rPr>
          <w:rFonts w:ascii="Times New Roman" w:hAnsi="Times New Roman" w:cs="Times New Roman"/>
          <w:noProof/>
          <w:sz w:val="20"/>
          <w:szCs w:val="20"/>
          <w:lang w:eastAsia="es-MX"/>
        </w:rPr>
        <w:drawing>
          <wp:inline distT="0" distB="0" distL="0" distR="0" wp14:anchorId="49ADADE7" wp14:editId="26F54DE9">
            <wp:extent cx="6019138" cy="3434963"/>
            <wp:effectExtent l="0" t="0" r="20320" b="1333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26CC8" w:rsidRDefault="00A67212" w:rsidP="00E016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MX"/>
        </w:rPr>
        <w:drawing>
          <wp:inline distT="0" distB="0" distL="0" distR="0" wp14:anchorId="2BBAB910" wp14:editId="355A775A">
            <wp:extent cx="6305107" cy="3710763"/>
            <wp:effectExtent l="0" t="0" r="19685" b="2349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81C9D" w:rsidRPr="00F81C9D" w:rsidRDefault="00F81C9D" w:rsidP="00E016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1C9D">
        <w:rPr>
          <w:rFonts w:ascii="Arial" w:hAnsi="Arial" w:cs="Arial"/>
          <w:b/>
          <w:i/>
          <w:sz w:val="24"/>
          <w:szCs w:val="24"/>
        </w:rPr>
        <w:t>Nota: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81C9D">
        <w:rPr>
          <w:rFonts w:ascii="Arial" w:hAnsi="Arial" w:cs="Arial"/>
          <w:sz w:val="24"/>
          <w:szCs w:val="24"/>
        </w:rPr>
        <w:t>Para la atención de personas con discapacidad también se deberán considerar</w:t>
      </w:r>
    </w:p>
    <w:p w:rsidR="00F81C9D" w:rsidRDefault="00F81C9D" w:rsidP="00E016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1C9D">
        <w:rPr>
          <w:rFonts w:ascii="Arial" w:hAnsi="Arial" w:cs="Arial"/>
          <w:sz w:val="24"/>
          <w:szCs w:val="24"/>
        </w:rPr>
        <w:t xml:space="preserve">          las recomendaciones emitidas por el INDEPEDI. </w:t>
      </w:r>
    </w:p>
    <w:p w:rsidR="00B061E7" w:rsidRDefault="00B061E7" w:rsidP="00E016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61E7" w:rsidRDefault="00B061E7" w:rsidP="00E016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61E7" w:rsidRPr="00E016F3" w:rsidRDefault="00B061E7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>Meta 4. Asegurar la creación de condiciones integrales de accesibilidad para garantizar el uso, permanencia y</w:t>
      </w:r>
      <w:r w:rsidR="00E016F3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16F3">
        <w:rPr>
          <w:rFonts w:ascii="Arial" w:hAnsi="Arial" w:cs="Arial"/>
          <w:b/>
          <w:bCs/>
          <w:sz w:val="24"/>
          <w:szCs w:val="24"/>
        </w:rPr>
        <w:t>disfrute del espacio público de la Ciudad de México de manera segura y autónoma por parte de las Personas con</w:t>
      </w:r>
      <w:r w:rsidR="00E016F3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16F3">
        <w:rPr>
          <w:rFonts w:ascii="Arial" w:hAnsi="Arial" w:cs="Arial"/>
          <w:b/>
          <w:bCs/>
          <w:sz w:val="24"/>
          <w:szCs w:val="24"/>
        </w:rPr>
        <w:t>Discapacidad.</w:t>
      </w:r>
    </w:p>
    <w:p w:rsidR="00B061E7" w:rsidRPr="00E016F3" w:rsidRDefault="00B061E7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Plazo de cumplimiento: </w:t>
      </w:r>
      <w:r w:rsidRPr="00E016F3">
        <w:rPr>
          <w:rFonts w:ascii="Arial" w:hAnsi="Arial" w:cs="Arial"/>
          <w:sz w:val="24"/>
          <w:szCs w:val="24"/>
        </w:rPr>
        <w:t>de 2014 a 2018, 5 años</w:t>
      </w:r>
    </w:p>
    <w:p w:rsidR="00C7051B" w:rsidRDefault="00C7051B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061E7" w:rsidRPr="00E016F3" w:rsidRDefault="00B061E7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Dependencias responsables: </w:t>
      </w:r>
      <w:r w:rsidRPr="00E016F3">
        <w:rPr>
          <w:rFonts w:ascii="Arial" w:hAnsi="Arial" w:cs="Arial"/>
          <w:sz w:val="24"/>
          <w:szCs w:val="24"/>
        </w:rPr>
        <w:t>Las Delegaciones, dependencias, órganos desconcentrados y entidades de la Administración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Pública del Distrito Federal.</w:t>
      </w:r>
    </w:p>
    <w:p w:rsidR="00F81C9D" w:rsidRDefault="00B061E7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>Política Pública 4.1</w:t>
      </w:r>
      <w:r w:rsidRPr="00E016F3">
        <w:rPr>
          <w:rFonts w:ascii="Arial" w:hAnsi="Arial" w:cs="Arial"/>
          <w:sz w:val="24"/>
          <w:szCs w:val="24"/>
        </w:rPr>
        <w:t>. La Secretaría de Movilidad (SEMOVI), Secretaría de Desarrollo Urbano y Vivienda (SEDUVI),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Secretaría de Obras y Servicios (SOBSE), Delegaciones y la Agencia de Gestión Urbana, realizarán las gestiones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necesarias para incluir el diseño y ejecución de Estrategias Integrales de Accesibilidad dentro de los Programas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Delegacionales de Obras y Desarrollo Urbano. Promoverán la creación de rutas, corredores y zonas accesibles que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constituyan modelos de accesibilidad al incorporar espacios, servicios, procesos, transporte e información con un enfoque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de integralidad y sujetándose a la jerarquía de movilidad, que pueda ser replicable y financiable progresivamente en la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Ciudad de México.</w:t>
      </w:r>
    </w:p>
    <w:p w:rsidR="00E016F3" w:rsidRPr="00E016F3" w:rsidRDefault="00E016F3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61E7" w:rsidRPr="00E016F3" w:rsidRDefault="00B061E7" w:rsidP="00E016F3">
      <w:pPr>
        <w:jc w:val="both"/>
        <w:rPr>
          <w:rFonts w:ascii="Arial" w:hAnsi="Arial" w:cs="Arial"/>
          <w:b/>
          <w:sz w:val="24"/>
          <w:szCs w:val="24"/>
        </w:rPr>
      </w:pPr>
      <w:r w:rsidRPr="00E016F3">
        <w:rPr>
          <w:rFonts w:ascii="Arial" w:hAnsi="Arial" w:cs="Arial"/>
          <w:b/>
          <w:sz w:val="24"/>
          <w:szCs w:val="24"/>
        </w:rPr>
        <w:t>Subprograma de Accesibilidad</w:t>
      </w:r>
    </w:p>
    <w:p w:rsidR="00B061E7" w:rsidRPr="00E016F3" w:rsidRDefault="00B061E7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sz w:val="24"/>
          <w:szCs w:val="24"/>
        </w:rPr>
        <w:t>El Subprograma Accesibilidad, responde en primera instancia a las disposiciones y medidas establecidas en la Convención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sobre los Derechos de las Personas con Discapacidad, en cuyo Artículo 9°, se establece como condición para que las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Personas con Discapacidad vivan de forma independiente el que se asegure su acceso, en igualdad de condiciones con las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demás, al entorno físico, el transporte, la información y las comunicaciones, incluidos los sistemas y las tecnologías de la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información y las comunicaciones, y a otros servicios e instalaciones abiertos al público o de uso público, tanto en zonas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urbanas como rurales.</w:t>
      </w:r>
    </w:p>
    <w:p w:rsidR="00B061E7" w:rsidRPr="00E016F3" w:rsidRDefault="00B061E7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sz w:val="24"/>
          <w:szCs w:val="24"/>
        </w:rPr>
        <w:t>En este caso, el Subprograma Accesibilidad atiende los cuatro dominios generales de la accesibilidad, que al ser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intervenidos en conjunto y considerando la relación entre los mismos, permitirán introducir una visión integradora de este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tema en la acción pública y afrontar con eficacia el enorme reto que tiene en esta materia la Ciudad de México:</w:t>
      </w:r>
    </w:p>
    <w:p w:rsidR="00B061E7" w:rsidRPr="00E016F3" w:rsidRDefault="00B061E7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sz w:val="24"/>
          <w:szCs w:val="24"/>
        </w:rPr>
        <w:t xml:space="preserve">a. Las edificaciones e instalaciones donde </w:t>
      </w:r>
      <w:r w:rsidR="00D97EFB">
        <w:rPr>
          <w:rFonts w:ascii="Arial" w:hAnsi="Arial" w:cs="Arial"/>
          <w:sz w:val="24"/>
          <w:szCs w:val="24"/>
        </w:rPr>
        <w:t xml:space="preserve">se prestan servicios al público </w:t>
      </w:r>
      <w:r w:rsidRPr="00E016F3">
        <w:rPr>
          <w:rFonts w:ascii="Arial" w:hAnsi="Arial" w:cs="Arial"/>
          <w:sz w:val="24"/>
          <w:szCs w:val="24"/>
        </w:rPr>
        <w:t>(públicas y privadas).</w:t>
      </w:r>
    </w:p>
    <w:p w:rsidR="00B061E7" w:rsidRPr="00E016F3" w:rsidRDefault="00B061E7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sz w:val="24"/>
          <w:szCs w:val="24"/>
        </w:rPr>
        <w:t>b. El Espacio Público.</w:t>
      </w:r>
    </w:p>
    <w:p w:rsidR="00B061E7" w:rsidRPr="00E016F3" w:rsidRDefault="00B061E7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sz w:val="24"/>
          <w:szCs w:val="24"/>
        </w:rPr>
        <w:t>c. El Transporte Público de pasajeros (gubernamental y concesionado).</w:t>
      </w:r>
    </w:p>
    <w:p w:rsidR="00B061E7" w:rsidRPr="00E016F3" w:rsidRDefault="00B061E7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sz w:val="24"/>
          <w:szCs w:val="24"/>
        </w:rPr>
        <w:t>d. La Información y las Comunicaciones.</w:t>
      </w:r>
    </w:p>
    <w:p w:rsidR="00B061E7" w:rsidRPr="00E016F3" w:rsidRDefault="00B061E7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61E7" w:rsidRPr="00E016F3" w:rsidRDefault="00B061E7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>Objetivo del Subprograma Accesibilidad</w:t>
      </w:r>
    </w:p>
    <w:p w:rsidR="00B061E7" w:rsidRPr="00E016F3" w:rsidRDefault="00B061E7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sz w:val="24"/>
          <w:szCs w:val="24"/>
        </w:rPr>
        <w:t>Generar los instrumentos para la accesibilidad y movilidad que permitan a las Personas con Discapacidad utilizar los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entornos, bienes, productos y servicios, tanto públicos como privados, de manera segura, cómoda y autónoma para el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ejercicio pleno de sus derechos y libertades fundamentales, en igualdad de condiciones con el resto de la población del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Distrito Federal.</w:t>
      </w:r>
    </w:p>
    <w:p w:rsidR="00B061E7" w:rsidRPr="00E016F3" w:rsidRDefault="00B061E7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61E7" w:rsidRPr="00E016F3" w:rsidRDefault="00B061E7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>Meta 7. Abatir las barreras de la información y las comunicaciones en la prestación de los servicios al público en el</w:t>
      </w:r>
      <w:r w:rsidR="00E016F3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16F3">
        <w:rPr>
          <w:rFonts w:ascii="Arial" w:hAnsi="Arial" w:cs="Arial"/>
          <w:b/>
          <w:bCs/>
          <w:sz w:val="24"/>
          <w:szCs w:val="24"/>
        </w:rPr>
        <w:t>sector público y sector privados para garantizar las condiciones óptimas de accesibilidad en la Ciudad de México.</w:t>
      </w:r>
    </w:p>
    <w:p w:rsidR="00B061E7" w:rsidRPr="00E016F3" w:rsidRDefault="00B061E7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Plazo de cumplimiento: </w:t>
      </w:r>
      <w:r w:rsidRPr="00E016F3">
        <w:rPr>
          <w:rFonts w:ascii="Arial" w:hAnsi="Arial" w:cs="Arial"/>
          <w:sz w:val="24"/>
          <w:szCs w:val="24"/>
        </w:rPr>
        <w:t>de 2014 a 2018, 5 años.</w:t>
      </w:r>
    </w:p>
    <w:p w:rsidR="00C7051B" w:rsidRDefault="00C7051B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061E7" w:rsidRPr="00E016F3" w:rsidRDefault="00B061E7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Dependencias responsables: </w:t>
      </w:r>
      <w:r w:rsidRPr="00E016F3">
        <w:rPr>
          <w:rFonts w:ascii="Arial" w:hAnsi="Arial" w:cs="Arial"/>
          <w:sz w:val="24"/>
          <w:szCs w:val="24"/>
        </w:rPr>
        <w:t>Las Delegaciones, dependencias, órganos desconcentrados y entidades de la Administración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Pública del Distrito Federal.</w:t>
      </w:r>
    </w:p>
    <w:p w:rsidR="00C7051B" w:rsidRDefault="00C7051B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061E7" w:rsidRPr="00E016F3" w:rsidRDefault="00B061E7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7.1. </w:t>
      </w:r>
      <w:r w:rsidRPr="00E016F3">
        <w:rPr>
          <w:rFonts w:ascii="Arial" w:hAnsi="Arial" w:cs="Arial"/>
          <w:sz w:val="24"/>
          <w:szCs w:val="24"/>
        </w:rPr>
        <w:t>Todas las Delegaciones, dependencias, órganos desconcentrados y entidades de la Administración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Pública del Distrito Federal</w:t>
      </w:r>
      <w:r w:rsidRPr="00E016F3">
        <w:rPr>
          <w:rFonts w:ascii="Arial" w:hAnsi="Arial" w:cs="Arial"/>
          <w:b/>
          <w:bCs/>
          <w:sz w:val="24"/>
          <w:szCs w:val="24"/>
        </w:rPr>
        <w:t xml:space="preserve">, </w:t>
      </w:r>
      <w:r w:rsidRPr="00E016F3">
        <w:rPr>
          <w:rFonts w:ascii="Arial" w:hAnsi="Arial" w:cs="Arial"/>
          <w:sz w:val="24"/>
          <w:szCs w:val="24"/>
        </w:rPr>
        <w:t>implementarán las acciones necesarias para el uso de herramientas y tecnologías disponibles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que hagan eficiente la información y comunicación entre el gobierno de la ciudad y las Personas con Discapacidad.</w:t>
      </w:r>
    </w:p>
    <w:p w:rsidR="00B061E7" w:rsidRPr="00E016F3" w:rsidRDefault="00B061E7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sz w:val="24"/>
          <w:szCs w:val="24"/>
        </w:rPr>
        <w:t>Extendiendo la invitación a sumarse a esta acción a la Asamblea Legislativa del Distrito Federal y el Tribunal Superior de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Justicia del Distrito Federal.</w:t>
      </w:r>
    </w:p>
    <w:p w:rsidR="00B061E7" w:rsidRPr="00E016F3" w:rsidRDefault="00B061E7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7.3. </w:t>
      </w:r>
      <w:r w:rsidRPr="00E016F3">
        <w:rPr>
          <w:rFonts w:ascii="Arial" w:hAnsi="Arial" w:cs="Arial"/>
          <w:sz w:val="24"/>
          <w:szCs w:val="24"/>
        </w:rPr>
        <w:t>Las Delegaciones, dependencias, órganos desconcentrados y entidades de la Administración Pública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del Distrito Federal, implantarán mecanismos de difusión sobre la existencia de tecnologías de información adecuadas para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Personas con Discapacidad, que permita hacer uso efectivo de las mismas. Impulsarán centros de acceso a internet, con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equipos, plataformas de navegación e infraestructura accesibles.</w:t>
      </w:r>
    </w:p>
    <w:p w:rsidR="00B061E7" w:rsidRPr="00E016F3" w:rsidRDefault="00B061E7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7.4. </w:t>
      </w:r>
      <w:r w:rsidRPr="00E016F3">
        <w:rPr>
          <w:rFonts w:ascii="Arial" w:hAnsi="Arial" w:cs="Arial"/>
          <w:sz w:val="24"/>
          <w:szCs w:val="24"/>
        </w:rPr>
        <w:t>Las Delegaciones, dependencias, órganos desconcentrados y entidades de la Administración Pública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del Distrito Federal</w:t>
      </w:r>
      <w:r w:rsidRPr="00E016F3">
        <w:rPr>
          <w:rFonts w:ascii="Arial" w:hAnsi="Arial" w:cs="Arial"/>
          <w:b/>
          <w:bCs/>
          <w:sz w:val="24"/>
          <w:szCs w:val="24"/>
        </w:rPr>
        <w:t xml:space="preserve">, </w:t>
      </w:r>
      <w:r w:rsidRPr="00E016F3">
        <w:rPr>
          <w:rFonts w:ascii="Arial" w:hAnsi="Arial" w:cs="Arial"/>
          <w:sz w:val="24"/>
          <w:szCs w:val="24"/>
        </w:rPr>
        <w:t>incluirán en los programas anuales de capacitación para servidores públicos cursos relacionados con el uso de tecnologías, de formatos accesibles (sonoros, Braille y pictogramas), así como de la Lengua de Señas Mexicana,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sobre todo para el personal de las áreas de atención ciudadana y acceso a la información pública, a fin de hacer eficaz la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comunicación entre el gobierno de la ciudad y las Personas con Discapacidad que la habitan o transitan. Extendiendo la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invitación a sumarse a esta acción a la Asamblea Legislativa del Distrito Federal y el Tribunal Superior de Justicia del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Distrito Federal.</w:t>
      </w:r>
    </w:p>
    <w:p w:rsidR="00B061E7" w:rsidRPr="00E016F3" w:rsidRDefault="00B061E7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7.5. </w:t>
      </w:r>
      <w:r w:rsidRPr="00E016F3">
        <w:rPr>
          <w:rFonts w:ascii="Arial" w:hAnsi="Arial" w:cs="Arial"/>
          <w:sz w:val="24"/>
          <w:szCs w:val="24"/>
        </w:rPr>
        <w:t>Las Delegaciones, dependencias, órganos desconcentrados y entidades de la Administración Pública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del Distrito Federal, implementarán el uso de formatos accesibles para la transmisión de información gubernamental y de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interés público que se dé median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te recursos impresos o electrónicos (volantes, carteles, avisos), mediante inserciones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pagadas (impresas y electrónicas en medios de circulación Local) y las páginas web institucionales</w:t>
      </w:r>
      <w:r w:rsidRPr="00E016F3">
        <w:rPr>
          <w:rFonts w:ascii="Arial" w:hAnsi="Arial" w:cs="Arial"/>
          <w:b/>
          <w:bCs/>
          <w:sz w:val="24"/>
          <w:szCs w:val="24"/>
        </w:rPr>
        <w:t xml:space="preserve">. </w:t>
      </w:r>
      <w:r w:rsidRPr="00E016F3">
        <w:rPr>
          <w:rFonts w:ascii="Arial" w:hAnsi="Arial" w:cs="Arial"/>
          <w:sz w:val="24"/>
          <w:szCs w:val="24"/>
        </w:rPr>
        <w:t>Extendiendo la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invitación a sumarse a esta acción a la Asamblea Legislativa del Distrito Federal y el Tribunal Superior de Justicia del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Distrito Federal.</w:t>
      </w:r>
    </w:p>
    <w:p w:rsidR="00604CFE" w:rsidRPr="00E016F3" w:rsidRDefault="00604CFE" w:rsidP="00E016F3">
      <w:pPr>
        <w:jc w:val="both"/>
        <w:rPr>
          <w:rFonts w:ascii="Arial" w:hAnsi="Arial" w:cs="Arial"/>
          <w:sz w:val="24"/>
          <w:szCs w:val="24"/>
        </w:rPr>
      </w:pPr>
    </w:p>
    <w:p w:rsidR="00604CFE" w:rsidRPr="00E016F3" w:rsidRDefault="00604CFE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>Subprograma sensibilización: no discriminación e inclusión social</w:t>
      </w:r>
    </w:p>
    <w:p w:rsidR="00604CFE" w:rsidRPr="00E016F3" w:rsidRDefault="00604CFE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016F3" w:rsidRDefault="00604CFE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sz w:val="24"/>
          <w:szCs w:val="24"/>
        </w:rPr>
        <w:t>La Convención Sobre los Derechos de las Personas con Discapacidad, presenta a la Toma de Conciencia, como un derecho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y como una condición necesaria para que las Personas con Discapacidad puedan participar plenamente en todos los aspectos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 xml:space="preserve">de la vida. En su Artículo ocho, se considera como ―Toma de Conciencia‖ al cambio de perspectiva, lo que implica: </w:t>
      </w:r>
    </w:p>
    <w:p w:rsidR="00E016F3" w:rsidRDefault="00604CFE" w:rsidP="00E016F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sz w:val="24"/>
          <w:szCs w:val="24"/>
        </w:rPr>
        <w:t>Sensibilizar a la sociedad, incluso a nivel familiar, para que tome mayor conciencia respecto de las Personas con</w:t>
      </w:r>
      <w:r w:rsidR="00E016F3" w:rsidRP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 xml:space="preserve">Discapacidad y fomentar el respeto de los derechos y la dignidad de estas personas; </w:t>
      </w:r>
    </w:p>
    <w:p w:rsidR="00E016F3" w:rsidRDefault="00604CFE" w:rsidP="00E016F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sz w:val="24"/>
          <w:szCs w:val="24"/>
        </w:rPr>
        <w:t>b) Luchar contra los estereotipos, los</w:t>
      </w:r>
      <w:r w:rsidR="00E016F3" w:rsidRP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prejuicios y las prácticas nocivas respecto de las Personas con Discapacidad, incluidos los que se basan en el género o la</w:t>
      </w:r>
      <w:r w:rsidR="00E016F3" w:rsidRP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 xml:space="preserve">edad, en todos los ámbitos de la vida; y </w:t>
      </w:r>
    </w:p>
    <w:p w:rsidR="00604CFE" w:rsidRPr="00E016F3" w:rsidRDefault="00604CFE" w:rsidP="00E016F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sz w:val="24"/>
          <w:szCs w:val="24"/>
        </w:rPr>
        <w:t>c) Promover la toma de conciencia respecto de las capacidades y aportaciones de las</w:t>
      </w:r>
      <w:r w:rsidR="007A5E8D" w:rsidRP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Personas con Discapacidad.</w:t>
      </w:r>
    </w:p>
    <w:p w:rsidR="007A5E8D" w:rsidRPr="00E016F3" w:rsidRDefault="007A5E8D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5E8D" w:rsidRPr="00E016F3" w:rsidRDefault="007A5E8D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016F3">
        <w:rPr>
          <w:rFonts w:ascii="Arial" w:hAnsi="Arial" w:cs="Arial"/>
          <w:i/>
          <w:sz w:val="24"/>
          <w:szCs w:val="24"/>
        </w:rPr>
        <w:t>(CONAPRED, 2010), en el Distrito Federal, el</w:t>
      </w:r>
      <w:r w:rsidR="00A5215F">
        <w:rPr>
          <w:rFonts w:ascii="Arial" w:hAnsi="Arial" w:cs="Arial"/>
          <w:i/>
          <w:sz w:val="24"/>
          <w:szCs w:val="24"/>
        </w:rPr>
        <w:t xml:space="preserve"> </w:t>
      </w:r>
      <w:r w:rsidRPr="00E016F3">
        <w:rPr>
          <w:rFonts w:ascii="Arial" w:hAnsi="Arial" w:cs="Arial"/>
          <w:i/>
          <w:sz w:val="24"/>
          <w:szCs w:val="24"/>
        </w:rPr>
        <w:t>39.2% de la población considera que a las Personas con Discapacidad no les son respetados sus derechos; mientras que el</w:t>
      </w:r>
      <w:r w:rsidR="00A5215F">
        <w:rPr>
          <w:rFonts w:ascii="Arial" w:hAnsi="Arial" w:cs="Arial"/>
          <w:i/>
          <w:sz w:val="24"/>
          <w:szCs w:val="24"/>
        </w:rPr>
        <w:t xml:space="preserve"> </w:t>
      </w:r>
      <w:r w:rsidRPr="00E016F3">
        <w:rPr>
          <w:rFonts w:ascii="Arial" w:hAnsi="Arial" w:cs="Arial"/>
          <w:i/>
          <w:sz w:val="24"/>
          <w:szCs w:val="24"/>
        </w:rPr>
        <w:t>65.5% de las propias Personas con Discapacidad perciben que sus derechos no son respetados.</w:t>
      </w:r>
    </w:p>
    <w:p w:rsidR="007A5E8D" w:rsidRPr="00E016F3" w:rsidRDefault="007A5E8D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5E8D" w:rsidRDefault="00C7051B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7A5E8D" w:rsidRPr="00E016F3">
        <w:rPr>
          <w:rFonts w:ascii="Arial" w:hAnsi="Arial" w:cs="Arial"/>
          <w:sz w:val="24"/>
          <w:szCs w:val="24"/>
        </w:rPr>
        <w:t>a Sensibilización se define de acuerdo a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="007A5E8D" w:rsidRPr="00E016F3">
        <w:rPr>
          <w:rFonts w:ascii="Arial" w:hAnsi="Arial" w:cs="Arial"/>
          <w:sz w:val="24"/>
          <w:szCs w:val="24"/>
        </w:rPr>
        <w:t xml:space="preserve">lo dispuesto en la Ley para la Integración al Desarrollo de las Personas con Discapacidad del Distrito Federal: </w:t>
      </w:r>
      <w:r w:rsidR="007A5E8D" w:rsidRPr="00E016F3">
        <w:rPr>
          <w:rFonts w:ascii="Arial" w:hAnsi="Arial" w:cs="Arial"/>
          <w:i/>
          <w:iCs/>
          <w:sz w:val="24"/>
          <w:szCs w:val="24"/>
        </w:rPr>
        <w:t>Es el proceso</w:t>
      </w:r>
      <w:r w:rsidR="00E016F3">
        <w:rPr>
          <w:rFonts w:ascii="Arial" w:hAnsi="Arial" w:cs="Arial"/>
          <w:i/>
          <w:iCs/>
          <w:sz w:val="24"/>
          <w:szCs w:val="24"/>
        </w:rPr>
        <w:t xml:space="preserve"> </w:t>
      </w:r>
      <w:r w:rsidR="007A5E8D" w:rsidRPr="00E016F3">
        <w:rPr>
          <w:rFonts w:ascii="Arial" w:hAnsi="Arial" w:cs="Arial"/>
          <w:i/>
          <w:iCs/>
          <w:sz w:val="24"/>
          <w:szCs w:val="24"/>
        </w:rPr>
        <w:t>de concientización dirigido a la sociedad en general, para fomentar actitudes receptivas (o incluyentes) y percepciones</w:t>
      </w:r>
      <w:r w:rsidR="00E016F3">
        <w:rPr>
          <w:rFonts w:ascii="Arial" w:hAnsi="Arial" w:cs="Arial"/>
          <w:i/>
          <w:iCs/>
          <w:sz w:val="24"/>
          <w:szCs w:val="24"/>
        </w:rPr>
        <w:t xml:space="preserve"> </w:t>
      </w:r>
      <w:r w:rsidR="007A5E8D" w:rsidRPr="00E016F3">
        <w:rPr>
          <w:rFonts w:ascii="Arial" w:hAnsi="Arial" w:cs="Arial"/>
          <w:i/>
          <w:iCs/>
          <w:sz w:val="24"/>
          <w:szCs w:val="24"/>
        </w:rPr>
        <w:t>positivas de las Personas con Discapacidad y del respeto a sus derechos y libertades fundamentales</w:t>
      </w:r>
      <w:r w:rsidR="007A5E8D" w:rsidRPr="00E016F3">
        <w:rPr>
          <w:rFonts w:ascii="Arial" w:hAnsi="Arial" w:cs="Arial"/>
          <w:sz w:val="24"/>
          <w:szCs w:val="24"/>
        </w:rPr>
        <w:t>.</w:t>
      </w:r>
    </w:p>
    <w:p w:rsidR="00AF3273" w:rsidRPr="00E016F3" w:rsidRDefault="00AF3273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5E8D" w:rsidRPr="00E016F3" w:rsidRDefault="007A5E8D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016F3">
        <w:rPr>
          <w:rFonts w:ascii="Arial" w:hAnsi="Arial" w:cs="Arial"/>
          <w:sz w:val="24"/>
          <w:szCs w:val="24"/>
        </w:rPr>
        <w:t>Proceso que debe centrar su atención en la eliminación de barreras sociales y culturales, entendiendo por estas lo que la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 xml:space="preserve">mencionada Ley, indica: </w:t>
      </w:r>
      <w:r w:rsidRPr="00E016F3">
        <w:rPr>
          <w:rFonts w:ascii="Arial" w:hAnsi="Arial" w:cs="Arial"/>
          <w:i/>
          <w:iCs/>
          <w:sz w:val="24"/>
          <w:szCs w:val="24"/>
        </w:rPr>
        <w:t>Las actitudes de rechazo, indiferencia o discriminación hacia las Personas con Discapacidad,</w:t>
      </w:r>
      <w:r w:rsidR="00E016F3">
        <w:rPr>
          <w:rFonts w:ascii="Arial" w:hAnsi="Arial" w:cs="Arial"/>
          <w:i/>
          <w:iCs/>
          <w:sz w:val="24"/>
          <w:szCs w:val="24"/>
        </w:rPr>
        <w:t xml:space="preserve"> </w:t>
      </w:r>
      <w:r w:rsidRPr="00E016F3">
        <w:rPr>
          <w:rFonts w:ascii="Arial" w:hAnsi="Arial" w:cs="Arial"/>
          <w:i/>
          <w:iCs/>
          <w:sz w:val="24"/>
          <w:szCs w:val="24"/>
        </w:rPr>
        <w:t>debido a los prejuicios, por parte de los integrantes de la sociedad, que impiden su inclusión y participación en la</w:t>
      </w:r>
      <w:r w:rsidR="00E016F3">
        <w:rPr>
          <w:rFonts w:ascii="Arial" w:hAnsi="Arial" w:cs="Arial"/>
          <w:i/>
          <w:iCs/>
          <w:sz w:val="24"/>
          <w:szCs w:val="24"/>
        </w:rPr>
        <w:t xml:space="preserve"> </w:t>
      </w:r>
      <w:r w:rsidRPr="00E016F3">
        <w:rPr>
          <w:rFonts w:ascii="Arial" w:hAnsi="Arial" w:cs="Arial"/>
          <w:i/>
          <w:iCs/>
          <w:sz w:val="24"/>
          <w:szCs w:val="24"/>
        </w:rPr>
        <w:t>comunidad, desconociendo sus derechos y libertades fundamentales.</w:t>
      </w:r>
    </w:p>
    <w:p w:rsidR="00AF3273" w:rsidRDefault="00AF3273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sz w:val="24"/>
          <w:szCs w:val="24"/>
        </w:rPr>
        <w:t>El cambio sociocultural se logrará a partir de la suma de esfuerzos interinstitucionales, la alianza con las propias Personas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con Discapacidad y las organizaciones que las representan, así como con los prestadores de servicios privados, en la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construcción de una Ciudad inclusiva, donde todos promuevan y respeten los derechos de todos.</w:t>
      </w:r>
    </w:p>
    <w:p w:rsidR="00C7051B" w:rsidRDefault="00C7051B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F3273" w:rsidRDefault="00AF3273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051B">
        <w:rPr>
          <w:rFonts w:ascii="Arial" w:hAnsi="Arial" w:cs="Arial"/>
          <w:b/>
          <w:bCs/>
          <w:sz w:val="24"/>
          <w:szCs w:val="24"/>
        </w:rPr>
        <w:t xml:space="preserve">Subprograma Sensibilización: no discriminación e inclusión social </w:t>
      </w:r>
    </w:p>
    <w:p w:rsidR="00AF3273" w:rsidRDefault="00AF3273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12681" w:rsidRPr="00E016F3" w:rsidRDefault="00AF3273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Objetivo: </w:t>
      </w:r>
      <w:r w:rsidR="00C12681" w:rsidRPr="00E016F3">
        <w:rPr>
          <w:rFonts w:ascii="Arial" w:hAnsi="Arial" w:cs="Arial"/>
          <w:sz w:val="24"/>
          <w:szCs w:val="24"/>
        </w:rPr>
        <w:t>Fomentar la toma de conciencia en toda la población y las personas servidoras públicas, sobre el respeto de los derechos de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="00C12681" w:rsidRPr="00E016F3">
        <w:rPr>
          <w:rFonts w:ascii="Arial" w:hAnsi="Arial" w:cs="Arial"/>
          <w:sz w:val="24"/>
          <w:szCs w:val="24"/>
        </w:rPr>
        <w:t>las Personas con Discapacidad, como requisito indispensable para una ciudad incluyente, a través de la promoción de una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="00C12681" w:rsidRPr="00E016F3">
        <w:rPr>
          <w:rFonts w:ascii="Arial" w:hAnsi="Arial" w:cs="Arial"/>
          <w:sz w:val="24"/>
          <w:szCs w:val="24"/>
        </w:rPr>
        <w:t>cultura sobre la forma de ver y tratar a este grupo de población, basada en el trato digno, el respeto a la diversidad y la no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="00C12681" w:rsidRPr="00E016F3">
        <w:rPr>
          <w:rFonts w:ascii="Arial" w:hAnsi="Arial" w:cs="Arial"/>
          <w:sz w:val="24"/>
          <w:szCs w:val="24"/>
        </w:rPr>
        <w:t>discriminación.</w:t>
      </w:r>
    </w:p>
    <w:p w:rsidR="00D14148" w:rsidRPr="00E016F3" w:rsidRDefault="00D14148" w:rsidP="00E016F3">
      <w:pPr>
        <w:jc w:val="both"/>
        <w:rPr>
          <w:rFonts w:ascii="Arial" w:hAnsi="Arial" w:cs="Arial"/>
          <w:sz w:val="24"/>
          <w:szCs w:val="24"/>
        </w:rPr>
      </w:pP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>Meta 1. Impulsar el establecimiento y operación de un mecanismo de coordinación, rectoría técnica, gestión,</w:t>
      </w:r>
      <w:r w:rsidR="00E016F3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16F3">
        <w:rPr>
          <w:rFonts w:ascii="Arial" w:hAnsi="Arial" w:cs="Arial"/>
          <w:b/>
          <w:bCs/>
          <w:sz w:val="24"/>
          <w:szCs w:val="24"/>
        </w:rPr>
        <w:t>asesoría, evaluación y seguimiento de las acciones y programas que en materia de Sensibilización se lleven a cabo en</w:t>
      </w:r>
      <w:r w:rsidR="00E016F3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16F3">
        <w:rPr>
          <w:rFonts w:ascii="Arial" w:hAnsi="Arial" w:cs="Arial"/>
          <w:b/>
          <w:bCs/>
          <w:sz w:val="24"/>
          <w:szCs w:val="24"/>
        </w:rPr>
        <w:t>la Ciudad.</w:t>
      </w:r>
    </w:p>
    <w:p w:rsidR="00C7051B" w:rsidRDefault="00C7051B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Plazo de cumplimiento: </w:t>
      </w:r>
      <w:r w:rsidRPr="00E016F3">
        <w:rPr>
          <w:rFonts w:ascii="Arial" w:hAnsi="Arial" w:cs="Arial"/>
          <w:sz w:val="24"/>
          <w:szCs w:val="24"/>
        </w:rPr>
        <w:t>de 2014 a 2018, 5 años</w:t>
      </w:r>
    </w:p>
    <w:p w:rsidR="00C7051B" w:rsidRDefault="00C7051B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Dependencias Responsables: </w:t>
      </w:r>
      <w:r w:rsidRPr="00E016F3">
        <w:rPr>
          <w:rFonts w:ascii="Arial" w:hAnsi="Arial" w:cs="Arial"/>
          <w:sz w:val="24"/>
          <w:szCs w:val="24"/>
        </w:rPr>
        <w:t>Las Delegaciones, dependencias, órganos desconcentrados y entidades de la Administración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Pública del Distrito Federal.</w:t>
      </w:r>
    </w:p>
    <w:p w:rsidR="00C7051B" w:rsidRDefault="00C7051B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1.1. </w:t>
      </w:r>
      <w:r w:rsidRPr="00E016F3">
        <w:rPr>
          <w:rFonts w:ascii="Arial" w:hAnsi="Arial" w:cs="Arial"/>
          <w:sz w:val="24"/>
          <w:szCs w:val="24"/>
        </w:rPr>
        <w:t>El INDEPEDI creará una Unidad responsable de regular el tema Sensibilización (no discriminación e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inclusión social), en la Ciudad de México.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1.2. </w:t>
      </w:r>
      <w:r w:rsidRPr="00E016F3">
        <w:rPr>
          <w:rFonts w:ascii="Arial" w:hAnsi="Arial" w:cs="Arial"/>
          <w:sz w:val="24"/>
          <w:szCs w:val="24"/>
        </w:rPr>
        <w:t>El INDEPEDI brindará opiniones técnicas en materia de Sensibilización (no discriminación e inclusión social),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generando con ello, un proceso de profesionalización en la materia.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1.3. </w:t>
      </w:r>
      <w:r w:rsidRPr="00E016F3">
        <w:rPr>
          <w:rFonts w:ascii="Arial" w:hAnsi="Arial" w:cs="Arial"/>
          <w:sz w:val="24"/>
          <w:szCs w:val="24"/>
        </w:rPr>
        <w:t>El INDEPEDI homologará los criterios y estándares técnicos para la realización de cualquier acción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en materia de sensibilización (no discriminación e inclusión social), que se desarrolle en la Ciudad de México.</w:t>
      </w:r>
    </w:p>
    <w:p w:rsidR="00C7051B" w:rsidRDefault="00C7051B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>Meta 2. Propiciar un proceso de cambio de cultura, a través de la concienciación de la sociedad en general,</w:t>
      </w:r>
      <w:r w:rsidR="00E016F3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16F3">
        <w:rPr>
          <w:rFonts w:ascii="Arial" w:hAnsi="Arial" w:cs="Arial"/>
          <w:b/>
          <w:bCs/>
          <w:sz w:val="24"/>
          <w:szCs w:val="24"/>
        </w:rPr>
        <w:t>fomentando actitudes receptivas, así como percepciones positivas hacia las Personas con Discapacidad.</w:t>
      </w:r>
    </w:p>
    <w:p w:rsidR="00C7051B" w:rsidRDefault="00C7051B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Plazo de cumplimiento: </w:t>
      </w:r>
      <w:r w:rsidRPr="00E016F3">
        <w:rPr>
          <w:rFonts w:ascii="Arial" w:hAnsi="Arial" w:cs="Arial"/>
          <w:sz w:val="24"/>
          <w:szCs w:val="24"/>
        </w:rPr>
        <w:t>de 2014 a 2018, 5 años</w:t>
      </w:r>
    </w:p>
    <w:p w:rsidR="00C7051B" w:rsidRDefault="00C7051B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Dependencias responsables: </w:t>
      </w:r>
      <w:r w:rsidRPr="00E016F3">
        <w:rPr>
          <w:rFonts w:ascii="Arial" w:hAnsi="Arial" w:cs="Arial"/>
          <w:sz w:val="24"/>
          <w:szCs w:val="24"/>
        </w:rPr>
        <w:t>Las Delegaciones, dependencias, órganos desconcentrados y entidades de la Administración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Pública del Distrito Federal</w:t>
      </w:r>
    </w:p>
    <w:p w:rsidR="00C7051B" w:rsidRDefault="00C7051B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2.1. </w:t>
      </w:r>
      <w:r w:rsidRPr="00E016F3">
        <w:rPr>
          <w:rFonts w:ascii="Arial" w:hAnsi="Arial" w:cs="Arial"/>
          <w:sz w:val="24"/>
          <w:szCs w:val="24"/>
        </w:rPr>
        <w:t>El INDEPEDI proporcionará los criterios y lineamientos para la elaboración de los materiales y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contenidos relativos a la impartición de cursos o talleres sobre Sensibilización a nivel Local. Generando un proceso de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profesionalización en la materia.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2.2. </w:t>
      </w:r>
      <w:r w:rsidRPr="00E016F3">
        <w:rPr>
          <w:rFonts w:ascii="Arial" w:hAnsi="Arial" w:cs="Arial"/>
          <w:sz w:val="24"/>
          <w:szCs w:val="24"/>
        </w:rPr>
        <w:t>Las Delegaciones, dependencias, órganos desconcentrados y entidades de la Administración Pública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del Distrito Federal, realizarán acciones eficaces que contribuyan a la toma de conciencia sobre los derechos de las Personas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con Discapacidad, la eliminación de los estereotipos, los prejuicios, la no discriminación y las prácticas nocivas; así como el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reconocimiento de sus capacidades y aportaciones al desarrollo de nuestra Ciudad (con base en los criterios que el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INDEPEDI promoverá). Extendiendo la invitación a sumarse a esta acción a la Asamblea Legislativa del Distrito Federal y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el Tribunal Superior de Justicia del Distrito Federal.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2.3. </w:t>
      </w:r>
      <w:r w:rsidRPr="00E016F3">
        <w:rPr>
          <w:rFonts w:ascii="Arial" w:hAnsi="Arial" w:cs="Arial"/>
          <w:sz w:val="24"/>
          <w:szCs w:val="24"/>
        </w:rPr>
        <w:t>Las Delegaciones, dependencias, órganos desconcentrados y entidades de la Administración Pública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del Distrito Federal difundirán a través de campañas, la toma de conciencia pública sobre los derechos consagrados en la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Convención sobre los Derechos de las Personas con Discapacidad, en particular entre las personas pertenecientes a grupos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étnicos y grupos con distinta identidad cultural.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2.4. </w:t>
      </w:r>
      <w:r w:rsidRPr="00E016F3">
        <w:rPr>
          <w:rFonts w:ascii="Arial" w:hAnsi="Arial" w:cs="Arial"/>
          <w:sz w:val="24"/>
          <w:szCs w:val="24"/>
        </w:rPr>
        <w:t>El INDEPEDI en colaboración con el DIF-DF fomentará en el sistema educativo local, entre todos los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niños y las niñas en edad temprana, una actitud de respeto de los derechos de las Personas con Discapacidad.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2.5. </w:t>
      </w:r>
      <w:r w:rsidRPr="00E016F3">
        <w:rPr>
          <w:rFonts w:ascii="Arial" w:hAnsi="Arial" w:cs="Arial"/>
          <w:sz w:val="24"/>
          <w:szCs w:val="24"/>
        </w:rPr>
        <w:t>El INDEPEDI alentará a todos los medios de comunicación a que difundan una imagen de las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Personas con Discapacidad que sea compatible con el propósito de la Convención sobre los Derechos de las Personas con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Discapacidad.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2.6. </w:t>
      </w:r>
      <w:r w:rsidRPr="00E016F3">
        <w:rPr>
          <w:rFonts w:ascii="Arial" w:hAnsi="Arial" w:cs="Arial"/>
          <w:sz w:val="24"/>
          <w:szCs w:val="24"/>
        </w:rPr>
        <w:t>INDEPEDI y la Secretaría de Movilidad instrumentarán una estrategia de sensibilización y Cultura de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Movilidad, dirigida a la sociedad en general para el uso respetuoso, incluyente y responsable del espacio público, a fin de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que se respeten los espacios de circulación y reservados para las Personas con Discapacidad.</w:t>
      </w:r>
    </w:p>
    <w:p w:rsidR="00C7051B" w:rsidRDefault="00C7051B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>Meta 3. Propiciar un proceso de cambio de cultura, a través de la concienciación de los Servidores Públicos,</w:t>
      </w:r>
      <w:r w:rsidR="00E016F3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16F3">
        <w:rPr>
          <w:rFonts w:ascii="Arial" w:hAnsi="Arial" w:cs="Arial"/>
          <w:b/>
          <w:bCs/>
          <w:sz w:val="24"/>
          <w:szCs w:val="24"/>
        </w:rPr>
        <w:t>fomentando actitudes receptivas, así como percepciones positivas sobre las Personas con Discapacidad.</w:t>
      </w:r>
    </w:p>
    <w:p w:rsidR="00C12681" w:rsidRPr="00E016F3" w:rsidRDefault="00C12681" w:rsidP="00E016F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Plazo de cumplimiento: </w:t>
      </w:r>
      <w:r w:rsidRPr="00E016F3">
        <w:rPr>
          <w:rFonts w:ascii="Arial" w:hAnsi="Arial" w:cs="Arial"/>
          <w:sz w:val="24"/>
          <w:szCs w:val="24"/>
        </w:rPr>
        <w:t>de 2014 a 2018, 5 años</w:t>
      </w:r>
    </w:p>
    <w:p w:rsidR="00C7051B" w:rsidRDefault="00C7051B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Dependencias responsables: </w:t>
      </w:r>
      <w:r w:rsidRPr="00E016F3">
        <w:rPr>
          <w:rFonts w:ascii="Arial" w:hAnsi="Arial" w:cs="Arial"/>
          <w:sz w:val="24"/>
          <w:szCs w:val="24"/>
        </w:rPr>
        <w:t>Las Delegaciones, dependencias, órganos desconcentrados y entidades de la Administración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Pública del Distrito Federal.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3.1. </w:t>
      </w:r>
      <w:r w:rsidRPr="00E016F3">
        <w:rPr>
          <w:rFonts w:ascii="Arial" w:hAnsi="Arial" w:cs="Arial"/>
          <w:sz w:val="24"/>
          <w:szCs w:val="24"/>
        </w:rPr>
        <w:t>El INDEPEDI desarrollará y difundirá un Modelo de Sensibilización sobre Discapacidad que guíe el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enfoque, los mecanismos y el proceso de sensibilización de los servidores públicos del Distrito Federal.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3.2. </w:t>
      </w:r>
      <w:r w:rsidRPr="00E016F3">
        <w:rPr>
          <w:rFonts w:ascii="Arial" w:hAnsi="Arial" w:cs="Arial"/>
          <w:sz w:val="24"/>
          <w:szCs w:val="24"/>
        </w:rPr>
        <w:t>Las Delegaciones, dependencias, órganos desconcentrados y entidades de la Administración Pública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del Distrito Federal, integrarán a los programas de capacitación dirigidos a los Servidores Públicos del Distrito Federal, los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procesos de sensibilización en materia de discapacidad. Extendiendo la invitación a sumarse a esta acción a la Asamblea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Legislativa del Distrito Federal y el Tribunal Superior de Justicia del Distrito Federal.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3.3. </w:t>
      </w:r>
      <w:r w:rsidRPr="00E016F3">
        <w:rPr>
          <w:rFonts w:ascii="Arial" w:hAnsi="Arial" w:cs="Arial"/>
          <w:sz w:val="24"/>
          <w:szCs w:val="24"/>
        </w:rPr>
        <w:t>Las Delegaciones, dependencias, órganos desconcentrados y entidades de la Administración Pública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del Distrito Federal buscarán la participación de intérpretes de Lengua de Señas Mexicana (LSM) en campañas, eventos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públicos. Extendiendo la invitación a sumarse a esta acción a la Asamblea Legislativa del Distrito Federal y el Tribunal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Superior de Justicia del Distrito Federal.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3.4. </w:t>
      </w:r>
      <w:r w:rsidRPr="00E016F3">
        <w:rPr>
          <w:rFonts w:ascii="Arial" w:hAnsi="Arial" w:cs="Arial"/>
          <w:sz w:val="24"/>
          <w:szCs w:val="24"/>
        </w:rPr>
        <w:t>Las Delegaciones, dependencias, órganos desconcentrados y entidades de la Administración Pública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del Distrito Federal promoverán en su ámbito de competencia, el conocimiento y valoración de la discapacidad como un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tema de interés público en la Ciudad.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3.5. </w:t>
      </w:r>
      <w:r w:rsidRPr="00E016F3">
        <w:rPr>
          <w:rFonts w:ascii="Arial" w:hAnsi="Arial" w:cs="Arial"/>
          <w:sz w:val="24"/>
          <w:szCs w:val="24"/>
        </w:rPr>
        <w:t>Las Delegaciones, dependencias, órganos desconcentrados y entidades de la Administración Pública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del Distrito Federal implementarán acciones de Sensibilización y Capacitación para la formación y actualización dirigida al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personal de trámites y servicios relacionados con el transporte y la movilidad de las Personas con Discapacidad.</w:t>
      </w:r>
    </w:p>
    <w:p w:rsidR="00C7051B" w:rsidRDefault="00C7051B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12681" w:rsidRDefault="003839C9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Subprograma Cultura, Recreación y D</w:t>
      </w:r>
      <w:r w:rsidR="00F716D7" w:rsidRPr="00E016F3">
        <w:rPr>
          <w:rFonts w:ascii="Arial" w:hAnsi="Arial" w:cs="Arial"/>
          <w:b/>
          <w:bCs/>
          <w:sz w:val="24"/>
          <w:szCs w:val="24"/>
        </w:rPr>
        <w:t>eporte</w:t>
      </w:r>
    </w:p>
    <w:p w:rsidR="00F716D7" w:rsidRPr="00E016F3" w:rsidRDefault="00F716D7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A785D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sz w:val="24"/>
          <w:szCs w:val="24"/>
        </w:rPr>
        <w:t>De acuerdo con el Artículo Treinta de la Convención sobre los Derechos de las Personas con Discapacidad, se reconoce el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Derecho de las Personas con Discapacidad a participar en la vida cultural, las actividades recreativas, el esparcimiento y el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deporte, en igualdad de condiciones con las demás. Para tal fin, la Convención indica que se deben adoptar medidas para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 xml:space="preserve">asegurar que: </w:t>
      </w:r>
    </w:p>
    <w:p w:rsidR="001A785D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sz w:val="24"/>
          <w:szCs w:val="24"/>
        </w:rPr>
        <w:t>a) accedan a material cultural en formatos accesibles y a lugares en donde se ofrezcan representaciones o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 xml:space="preserve">servicios culturales; </w:t>
      </w:r>
    </w:p>
    <w:p w:rsidR="001A785D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sz w:val="24"/>
          <w:szCs w:val="24"/>
        </w:rPr>
        <w:t xml:space="preserve">b) puedan desarrollar y utilizar su potencial creativo, artístico e intelectual; </w:t>
      </w:r>
    </w:p>
    <w:p w:rsidR="001A785D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sz w:val="24"/>
          <w:szCs w:val="24"/>
        </w:rPr>
        <w:t>c) las leyes de protección de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los derechos de propiedad intelectual no constituyan una barrera excesiva o discriminatoria para su acceso a materiales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 xml:space="preserve">culturales, </w:t>
      </w:r>
    </w:p>
    <w:p w:rsidR="001A785D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sz w:val="24"/>
          <w:szCs w:val="24"/>
        </w:rPr>
        <w:t>d) cuenten con el reconocimiento y el apoyo de su identidad cultural y lingüística específica, incluidas la lengua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 xml:space="preserve">de señas y la cultura de los sordos, </w:t>
      </w:r>
    </w:p>
    <w:p w:rsidR="001A785D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sz w:val="24"/>
          <w:szCs w:val="24"/>
        </w:rPr>
        <w:t>e) alentar y promover la participación, en la mayor medida posible, de las Personas con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 xml:space="preserve">Discapacidad en las actividades deportivas generales a todos los niveles; </w:t>
      </w:r>
    </w:p>
    <w:p w:rsidR="00C12681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sz w:val="24"/>
          <w:szCs w:val="24"/>
        </w:rPr>
        <w:t>f) asegurar que los niños y las niñas con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discapacidad tengan igual acceso con los demás niños y niñas a la participación en actividades lúdicas, recreativas, de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esparcimiento y deportivas, incluidas las que se realicen dentro del sistema escolar. Así como garantizar el acceso a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instalaciones deportivas, recreativas y turísticas, particularmente en el caso de niñas y niños.</w:t>
      </w:r>
    </w:p>
    <w:p w:rsidR="001A785D" w:rsidRPr="00E016F3" w:rsidRDefault="001A785D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2681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sz w:val="24"/>
          <w:szCs w:val="24"/>
        </w:rPr>
        <w:t>De igual forma, la Ley para la Integración al Desarrollo de las Personas con Discapacidad del Distrito Federal, determina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como Acciones Prioritarias, las relativas a los Programas que garanticen el disfrute y la participación en las actividades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culturales, recreativas y deportivas (artículo 5°, fracción V); establece también la obligación de garantizar el libre acceso y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desplazamiento de las Personas con Discapacidad en los lugares donde se impartan o realicen actividades, turísticas,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culturales, deportivas o recreativas; así como de reglamentar y supervisar el cumplimiento de las condiciones de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accesibilidad, bajo las cuales se realicen dichas actividades (artículo 36, fracciones II y II). La propia Ley determina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también que las Delegaciones Políticas del Distrito Federal deberán destinar horarios adecuados en las instalaciones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deportivas para que puedan hacer uso de ellas deportistas con discapacidad; promover y apoyar la conformación de equipos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representativos de deporte adaptado; difundir las disciplinas de deporte adaptado; contemplar las necesidades de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equipamiento y accesibilidad universal; proveer de equipo deportivo; y promover el acceso y uso de las instalaciones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deportivas sin costo alguno (artículo 37).</w:t>
      </w:r>
    </w:p>
    <w:p w:rsidR="001A785D" w:rsidRPr="00E016F3" w:rsidRDefault="001A785D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sz w:val="24"/>
          <w:szCs w:val="24"/>
        </w:rPr>
        <w:t>Respecto al Turismo para este Grupo de Población, la Ley de Turismo del Distrito Federal establece en su artículo 18 que el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Programa Local de Turismo deberá contener Políticas Públicas destinadas a Personas con Discapacidad y a otras que por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razones físicas, económicas, sociales o culturales tienen acceso limitado a disfrutar de las actividades turísticas y del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patrimonio turístico del Distrito Federal. Siendo, el turismo y la recreación ámbitos que potencian la integración social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efectiva, la afirmación individual, que contribuye además al fortalecimiento de los lazos de convivencia y, con ello, de la</w:t>
      </w:r>
      <w:r w:rsidR="00E016F3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cohesión social.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sz w:val="24"/>
          <w:szCs w:val="24"/>
        </w:rPr>
        <w:t>De acuerdo con datos del Informe especial sobre la situación de los Derechos Humanos de las Personas con Discapacidad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en el Distrito Federal 2007-2008, existen obstáculos particulares que enfrentan las Personas con Discapacidad, están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asociados al acceso mismo a los espacios culturales, deportivos y recreativos (infraestructura, comunicación e información).</w:t>
      </w:r>
    </w:p>
    <w:p w:rsidR="00F839E3" w:rsidRDefault="00F839E3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sz w:val="24"/>
          <w:szCs w:val="24"/>
        </w:rPr>
        <w:t>Tales rezagos involucran temas que van desde la accesibilidad física, hasta la falta de visitas guiadas en Lengua de Señas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Mexicana, mapas interactivos, subtitulado, audiodescripción, magnificadores de pantallas, salas de lectura adaptadas,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cédulas museográficas, guías impresas en sistema Braille, sensoramas, diseño de ambientes y actividades abiertos e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incluyentes, capacitación de mediadores o promotores para la atención de las Personas con Discapacidad.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sz w:val="24"/>
          <w:szCs w:val="24"/>
        </w:rPr>
        <w:t>Al estar ausentes, las Personas con Discapacidad se vuelven invisibles para el resto de la población; esto genera un círculo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vicioso de marginación, exclusión y discriminación que constituyen obstáculos cotidianos para acceder al ejercicio de sus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derechos‖ (CDHDF, 2008: 225).</w:t>
      </w:r>
    </w:p>
    <w:p w:rsidR="00C12681" w:rsidRPr="00E016F3" w:rsidRDefault="00C12681" w:rsidP="009F1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sz w:val="24"/>
          <w:szCs w:val="24"/>
        </w:rPr>
        <w:t>El Programa para la Integración al Desarrollo de las Personas con Discapacidad del Distrito Federal 2014-2018 (PID-PCD),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se presenta como una herramienta que busca contribuir en el desarrollo de un plan de Política Pública integral para el acceso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y participación de las Personas con Discapacidad en la Vida Cultural, Deportiva y Recreativa de la Ciudad de México,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además del reconocimiento y el impulso de la identidad cultural y lingüística específica de las Personas con Discapacidad;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los ajustes razonables, medidas de accesibilidad y diseño universal requeridos para contar con igualdad de condiciones en el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deporte, la recreación y la cultura, y estrategias que tomen en cuenta las particularidades que el acceso y la participación de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las Personas con Discapacidad en estas actividades representan, dependiendo de la etapa del ciclo vital en la cual se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encuentren (niñez, juventud, adultez o vejez).</w:t>
      </w:r>
    </w:p>
    <w:p w:rsidR="00F839E3" w:rsidRDefault="00F839E3" w:rsidP="00E016F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12681" w:rsidRPr="00E016F3" w:rsidRDefault="00F839E3" w:rsidP="00E016F3">
      <w:pPr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>Subprograma Cultura, Recreación y Deporte</w:t>
      </w:r>
    </w:p>
    <w:p w:rsidR="00C12681" w:rsidRPr="00E016F3" w:rsidRDefault="00F839E3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Objetivo: </w:t>
      </w:r>
      <w:r w:rsidR="00C12681" w:rsidRPr="00E016F3">
        <w:rPr>
          <w:rFonts w:ascii="Arial" w:hAnsi="Arial" w:cs="Arial"/>
          <w:sz w:val="24"/>
          <w:szCs w:val="24"/>
        </w:rPr>
        <w:t>Impulsar el derecho de las Personas con Discapacidad a la vida cultural, los espacios de expresión artística, recreativa y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="00C12681" w:rsidRPr="00E016F3">
        <w:rPr>
          <w:rFonts w:ascii="Arial" w:hAnsi="Arial" w:cs="Arial"/>
          <w:sz w:val="24"/>
          <w:szCs w:val="24"/>
        </w:rPr>
        <w:t>deportiva de la Ciudad, en igualdad de condiciones, fomentando una cultura de respeto e inclusión.</w:t>
      </w:r>
    </w:p>
    <w:p w:rsidR="00C7051B" w:rsidRDefault="00C7051B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>Meta 1. Adoptar medidas para mejorar la accesibilidad de la infraestructura, el acceso a la comunicación y la</w:t>
      </w:r>
      <w:r w:rsidR="009F15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16F3">
        <w:rPr>
          <w:rFonts w:ascii="Arial" w:hAnsi="Arial" w:cs="Arial"/>
          <w:b/>
          <w:bCs/>
          <w:sz w:val="24"/>
          <w:szCs w:val="24"/>
        </w:rPr>
        <w:t>información en los espacios, bienes y servicios turísticos, recreativos y deportivos.</w:t>
      </w:r>
    </w:p>
    <w:p w:rsidR="00C7051B" w:rsidRDefault="00C7051B" w:rsidP="00E016F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12681" w:rsidRPr="00E016F3" w:rsidRDefault="00C12681" w:rsidP="00E016F3">
      <w:pPr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Plazo de cumplimiento: </w:t>
      </w:r>
      <w:r w:rsidRPr="00E016F3">
        <w:rPr>
          <w:rFonts w:ascii="Arial" w:hAnsi="Arial" w:cs="Arial"/>
          <w:sz w:val="24"/>
          <w:szCs w:val="24"/>
        </w:rPr>
        <w:t>de 2014 a 2018, 5 años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Dependencias Responsables: </w:t>
      </w:r>
      <w:r w:rsidRPr="00E016F3">
        <w:rPr>
          <w:rFonts w:ascii="Arial" w:hAnsi="Arial" w:cs="Arial"/>
          <w:sz w:val="24"/>
          <w:szCs w:val="24"/>
        </w:rPr>
        <w:t>Secretaría de Cultura de la Ciudad de México, Instituto del Deporte de la Ciudad del México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(INDEPORTE), Secretaría de Turismo de la Ciudad de México (SECTUR), DIF-DF, Secretaría de Desarrollo Social,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Delegaciones Políticas, INDEPEDI.</w:t>
      </w:r>
    </w:p>
    <w:p w:rsidR="00C7051B" w:rsidRDefault="00C7051B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1.1. </w:t>
      </w:r>
      <w:r w:rsidRPr="00E016F3">
        <w:rPr>
          <w:rFonts w:ascii="Arial" w:hAnsi="Arial" w:cs="Arial"/>
          <w:sz w:val="24"/>
          <w:szCs w:val="24"/>
        </w:rPr>
        <w:t>Secretaría de Cultura de la Ciudad de México, Instituto del Deporte de la Ciudad del México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(INDEPORTE), Secretaría de Turismo de la Ciudad de México (SECTUR), DIF-DF, Secretaría de Desarrollo Social,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Delegaciones Políticas, realizarán un diagnóstico sobre la situación actual de las instalaciones e infraestructura turística,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deportiva, recreativa y/o cultural del Distrito Federal en materia de accesibilidad.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1.2. </w:t>
      </w:r>
      <w:r w:rsidRPr="00E016F3">
        <w:rPr>
          <w:rFonts w:ascii="Arial" w:hAnsi="Arial" w:cs="Arial"/>
          <w:sz w:val="24"/>
          <w:szCs w:val="24"/>
        </w:rPr>
        <w:t>Secretaría de Cultura de la Ciudad de México, Instituto del Deporte de la Ciudad del México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(INDEPORTE), Secretaría de Turismo de la Ciudad de México (SECTUR), DIF-DF, Secretaría de Desarrollo Social,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Delegaciones Políticas, incorporarán la variable accesibilidad y diseño universal en los recintos, contenidos y proyectos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turísticos, deportivos, recreativos y/o culturales.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1.3. </w:t>
      </w:r>
      <w:r w:rsidRPr="00E016F3">
        <w:rPr>
          <w:rFonts w:ascii="Arial" w:hAnsi="Arial" w:cs="Arial"/>
          <w:sz w:val="24"/>
          <w:szCs w:val="24"/>
        </w:rPr>
        <w:t>Secretaría de Turismo de la Ciudad de México (SECTUR) promoverá la creación de productos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especializados o específicos en temas de Turismo para las Personas con Discapacidad.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1.4. </w:t>
      </w:r>
      <w:r w:rsidRPr="00E016F3">
        <w:rPr>
          <w:rFonts w:ascii="Arial" w:hAnsi="Arial" w:cs="Arial"/>
          <w:sz w:val="24"/>
          <w:szCs w:val="24"/>
        </w:rPr>
        <w:t>Secretaría de Turismo de la Ciudad de México (SECTUR), fomentará el Turismo accesible, a través de la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actualización de un directorio de establecimientos y módulos de Turismo accesibles.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1.5. </w:t>
      </w:r>
      <w:r w:rsidRPr="00E016F3">
        <w:rPr>
          <w:rFonts w:ascii="Arial" w:hAnsi="Arial" w:cs="Arial"/>
          <w:sz w:val="24"/>
          <w:szCs w:val="24"/>
        </w:rPr>
        <w:t>Secretaría de Cultura de la Ciudad de México, Instituto del Deporte de la Ciudad del México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(INDEPORTE), Secretaría de Turismo de la Ciudad de México (SECTUR), DIF-DF, Secretaría de Desarrollo Social,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Delegaciones Políticas, INDEPEDI, asegurarán el acceso y libre desplazamiento de las Personas con Discapacidad en las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instalaciones públicas destinadas a la práctica de actividades físicas, deportivas o recreativas.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1.6. </w:t>
      </w:r>
      <w:r w:rsidRPr="00E016F3">
        <w:rPr>
          <w:rFonts w:ascii="Arial" w:hAnsi="Arial" w:cs="Arial"/>
          <w:sz w:val="24"/>
          <w:szCs w:val="24"/>
        </w:rPr>
        <w:t>La Secretaría de Cultura de la Ciudad de México, incluirá temáticas y textos en Sistema Braille para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ciegos y débiles visuales en el programa de salas de lectura.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1.7. </w:t>
      </w:r>
      <w:r w:rsidRPr="00E016F3">
        <w:rPr>
          <w:rFonts w:ascii="Arial" w:hAnsi="Arial" w:cs="Arial"/>
          <w:sz w:val="24"/>
          <w:szCs w:val="24"/>
        </w:rPr>
        <w:t>La Secretaría de Cultura de la Ciudad de México, realizará presentaciones literarias para Personas con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Discapacidad auditiva con el apoyo de intérpretes y/o personas que conozcan la Lengua de Señas Mexicana.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1.8. </w:t>
      </w:r>
      <w:r w:rsidRPr="00E016F3">
        <w:rPr>
          <w:rFonts w:ascii="Arial" w:hAnsi="Arial" w:cs="Arial"/>
          <w:sz w:val="24"/>
          <w:szCs w:val="24"/>
        </w:rPr>
        <w:t>La Secretaría de Cultura de la Ciudad de México y las Delegaciones, promoverán el acceso de las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Personas con Discapacidad a los espacios, bienes y servicios culturales, el respeto a su identidad cultural y su participación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plena en la vida cultural del Distrito Federal para avanzar en la construcción de una ciudad equitativa, plural, incluyente y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diversa.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1.9. </w:t>
      </w:r>
      <w:r w:rsidRPr="00E016F3">
        <w:rPr>
          <w:rFonts w:ascii="Arial" w:hAnsi="Arial" w:cs="Arial"/>
          <w:sz w:val="24"/>
          <w:szCs w:val="24"/>
        </w:rPr>
        <w:t>Secretaría de Cultura de la Ciudad de México y las Delegaciones, promoverán el acceso de las Personas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con Discapacidad a los fondos bibliográficos, bibliotecas, salas de lectura y acervos documentales en formatos accesibles y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con los apoyos necesarios.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1.10. </w:t>
      </w:r>
      <w:r w:rsidRPr="00E016F3">
        <w:rPr>
          <w:rFonts w:ascii="Arial" w:hAnsi="Arial" w:cs="Arial"/>
          <w:sz w:val="24"/>
          <w:szCs w:val="24"/>
        </w:rPr>
        <w:t>Secretaría de Cultura de la Ciudad de México y las Delegaciones, realizarán campañas informativas y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de divulgación cultural en formatos accesibles sobre la oferta en la Ciudad de México para las Personas con Discapacidad.</w:t>
      </w:r>
    </w:p>
    <w:p w:rsidR="00315DA0" w:rsidRDefault="00315DA0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>Meta 2. Contribuir a la creación de una cultura de inclusión de las Personas con Discapacidad en la vida cultural,</w:t>
      </w:r>
      <w:r w:rsidR="009F15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16F3">
        <w:rPr>
          <w:rFonts w:ascii="Arial" w:hAnsi="Arial" w:cs="Arial"/>
          <w:b/>
          <w:bCs/>
          <w:sz w:val="24"/>
          <w:szCs w:val="24"/>
        </w:rPr>
        <w:t>artística y deportiva de la Ciudad de México.</w:t>
      </w:r>
    </w:p>
    <w:p w:rsidR="00315DA0" w:rsidRDefault="00315DA0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Plazo de cumplimiento: </w:t>
      </w:r>
      <w:r w:rsidRPr="00E016F3">
        <w:rPr>
          <w:rFonts w:ascii="Arial" w:hAnsi="Arial" w:cs="Arial"/>
          <w:sz w:val="24"/>
          <w:szCs w:val="24"/>
        </w:rPr>
        <w:t>de 2014 a 2018, 5 años</w:t>
      </w:r>
    </w:p>
    <w:p w:rsidR="00315DA0" w:rsidRDefault="00315DA0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Dependencias Responsables: </w:t>
      </w:r>
      <w:r w:rsidRPr="00E016F3">
        <w:rPr>
          <w:rFonts w:ascii="Arial" w:hAnsi="Arial" w:cs="Arial"/>
          <w:sz w:val="24"/>
          <w:szCs w:val="24"/>
        </w:rPr>
        <w:t>Secretaría de Cultura de la Ciudad de México, Instituto del Deporte de la Ciudad del México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(INDEPORTE), DIF-DF, Secretaría de Turismo de la Ciudad de México (SECTUR), Secretaría de Desarrollo Social,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Delegaciones Políticas, INDEPEDI.</w:t>
      </w:r>
    </w:p>
    <w:p w:rsidR="00315DA0" w:rsidRDefault="00315DA0" w:rsidP="009F1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12681" w:rsidRPr="00E016F3" w:rsidRDefault="00C12681" w:rsidP="009F1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2.1. </w:t>
      </w:r>
      <w:r w:rsidRPr="00E016F3">
        <w:rPr>
          <w:rFonts w:ascii="Arial" w:hAnsi="Arial" w:cs="Arial"/>
          <w:sz w:val="24"/>
          <w:szCs w:val="24"/>
        </w:rPr>
        <w:t>Secretaría de Cultura de la Ciudad de México, Instituto del Deporte de la Ciudad del México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(INDEPORTE), DIF-DF, Secretaría de Turismo de la Ciudad de México (SECTUR), Secretaría de Desarrollo Social,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Delegaciones Políticas, contribuirán a que las Personas con Discapacidad desarrollen su creatividad y habilidades culturales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y disfruten de los bienes y servicios culturales y artísticos.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2.2. </w:t>
      </w:r>
      <w:r w:rsidRPr="00E016F3">
        <w:rPr>
          <w:rFonts w:ascii="Arial" w:hAnsi="Arial" w:cs="Arial"/>
          <w:sz w:val="24"/>
          <w:szCs w:val="24"/>
        </w:rPr>
        <w:t>Secretaría de Cultura de la Ciudad de México y las Delegaciones, divulgará las actividades de arte y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cultura en las que participan Personas con Discapacidad y aumentar el número de presentaciones artísticas de grupos que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trabajan con y para Personas con Discapacidad.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2.3. </w:t>
      </w:r>
      <w:r w:rsidRPr="00E016F3">
        <w:rPr>
          <w:rFonts w:ascii="Arial" w:hAnsi="Arial" w:cs="Arial"/>
          <w:sz w:val="24"/>
          <w:szCs w:val="24"/>
        </w:rPr>
        <w:t>Instituto del Deporte de la Ciudad del México (INDEPORTE), DIF-DF, Delegaciones Políticas,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incentivarán y apoyar la activación física y la práctica del deporte en Personas con Discapacidad.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2.4. </w:t>
      </w:r>
      <w:r w:rsidRPr="00E016F3">
        <w:rPr>
          <w:rFonts w:ascii="Arial" w:hAnsi="Arial" w:cs="Arial"/>
          <w:sz w:val="24"/>
          <w:szCs w:val="24"/>
        </w:rPr>
        <w:t>Instituto del Deporte de la Ciudad del México (INDEPORTE), DIF-DF, Delegaciones Políticas,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fortalecerán la formación académica de entrenadores y profesores de deportes, con especialización en la atención de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Personas con Discapacidad.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2.5. </w:t>
      </w:r>
      <w:r w:rsidRPr="00E016F3">
        <w:rPr>
          <w:rFonts w:ascii="Arial" w:hAnsi="Arial" w:cs="Arial"/>
          <w:sz w:val="24"/>
          <w:szCs w:val="24"/>
        </w:rPr>
        <w:t>Secretaría de Turismo de la Ciudad de México (SECTUR) e INDEPEDI, fomentará la participación de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prestadores de servicios turísticos, en temas de formación, capacitación y sensibilización para su personal.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2.6. </w:t>
      </w:r>
      <w:r w:rsidRPr="00E016F3">
        <w:rPr>
          <w:rFonts w:ascii="Arial" w:hAnsi="Arial" w:cs="Arial"/>
          <w:sz w:val="24"/>
          <w:szCs w:val="24"/>
        </w:rPr>
        <w:t>Secretaría de Cultura de la Ciudad de México y las Delegaciones, promoverán la inclusión de las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Personas con Discapacidad a la vida comunitaria a través de acciones de arte y cultura.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2.7. </w:t>
      </w:r>
      <w:r w:rsidRPr="00E016F3">
        <w:rPr>
          <w:rFonts w:ascii="Arial" w:hAnsi="Arial" w:cs="Arial"/>
          <w:sz w:val="24"/>
          <w:szCs w:val="24"/>
        </w:rPr>
        <w:t>Secretaría de Cultura de la Ciudad de México y las Delegaciones, apoyarán ciclos de cine y documental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que muestren el valor de las personas con discapacidad en beneficio de la inclusión de este sector de la población.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2.8. </w:t>
      </w:r>
      <w:r w:rsidRPr="00E016F3">
        <w:rPr>
          <w:rFonts w:ascii="Arial" w:hAnsi="Arial" w:cs="Arial"/>
          <w:sz w:val="24"/>
          <w:szCs w:val="24"/>
        </w:rPr>
        <w:t>Instituto del Deporte de la Ciudad del México (INDEPORTE), DIF-DF, Delegaciones Políticas,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fomentarán la vinculación del Sistema Local con el Sistema Nacional del Deporte el derecho de las Personas con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Discapacidad, a la práctica de una actividad física, deporte adaptado o paralímpico.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2.9. </w:t>
      </w:r>
      <w:r w:rsidRPr="00E016F3">
        <w:rPr>
          <w:rFonts w:ascii="Arial" w:hAnsi="Arial" w:cs="Arial"/>
          <w:sz w:val="24"/>
          <w:szCs w:val="24"/>
        </w:rPr>
        <w:t>Secretaría de Cultura de la Ciudad de México y las Delegaciones, diversificarán la oferta cultural para las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Personas con Discapacidad en la Ciudad de México, de manera que existan espacios, actividades y contenidos para el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disfrute de cada una de las bellas artes.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2.10. </w:t>
      </w:r>
      <w:r w:rsidRPr="00E016F3">
        <w:rPr>
          <w:rFonts w:ascii="Arial" w:hAnsi="Arial" w:cs="Arial"/>
          <w:sz w:val="24"/>
          <w:szCs w:val="24"/>
        </w:rPr>
        <w:t>Promover que en los programas, en los espacios y en las acciones culturales adscritos o dependientes de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la Secretaría de Cultura del Distrito Federal, se incorporen o estimulen actividades dirigidas a niños/as, jóvenes o adultos/as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mayores con discapacidad en entornos inclusivos.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2.11. </w:t>
      </w:r>
      <w:r w:rsidRPr="00E016F3">
        <w:rPr>
          <w:rFonts w:ascii="Arial" w:hAnsi="Arial" w:cs="Arial"/>
          <w:sz w:val="24"/>
          <w:szCs w:val="24"/>
        </w:rPr>
        <w:t>Secretaría de Turismo de la Ciudad de México (SECTUR), realizará campañas de promoción turística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para Personas con Discapacidad, posicionando el ―turismo accesible‖ en la Ciudad de México.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2.12. </w:t>
      </w:r>
      <w:r w:rsidRPr="00E016F3">
        <w:rPr>
          <w:rFonts w:ascii="Arial" w:hAnsi="Arial" w:cs="Arial"/>
          <w:sz w:val="24"/>
          <w:szCs w:val="24"/>
        </w:rPr>
        <w:t>Instituto del Deporte de la Ciudad del México (INDEPORTE), DIF-DF, Delegaciones Políticas,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reconocerán y estimularán a los deportistas con discapacidad del Distrito Federal ganadores de alguna disciplina en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competencias nacionales o internacionales.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2.13. </w:t>
      </w:r>
      <w:r w:rsidRPr="00E016F3">
        <w:rPr>
          <w:rFonts w:ascii="Arial" w:hAnsi="Arial" w:cs="Arial"/>
          <w:sz w:val="24"/>
          <w:szCs w:val="24"/>
        </w:rPr>
        <w:t>Las Delegaciones Políticas propiciarán la incorporación de Personas con Discapacidad con talento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deportivo a los equipos delegacionales representativos de deporte adaptado.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2.14. </w:t>
      </w:r>
      <w:r w:rsidRPr="00E016F3">
        <w:rPr>
          <w:rFonts w:ascii="Arial" w:hAnsi="Arial" w:cs="Arial"/>
          <w:sz w:val="24"/>
          <w:szCs w:val="24"/>
        </w:rPr>
        <w:t>El Instituto del Deporte y el DIF-DF, estimularán la difusión de los Juegos del Deporte Adaptado en la Ciudad de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México.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2.15. </w:t>
      </w:r>
      <w:r w:rsidRPr="00E016F3">
        <w:rPr>
          <w:rFonts w:ascii="Arial" w:hAnsi="Arial" w:cs="Arial"/>
          <w:sz w:val="24"/>
          <w:szCs w:val="24"/>
        </w:rPr>
        <w:t>El Instituto del Deporte fomentará la creación de un Museo del Deporte Adaptado en la Ciudad de México.</w:t>
      </w:r>
    </w:p>
    <w:p w:rsidR="00315DA0" w:rsidRDefault="00315DA0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>Meta 3. Promover acuerdos para que las Personas con Discapacidad accedan a servicios turísticos, recreativos y de</w:t>
      </w:r>
      <w:r w:rsidR="009F15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16F3">
        <w:rPr>
          <w:rFonts w:ascii="Arial" w:hAnsi="Arial" w:cs="Arial"/>
          <w:b/>
          <w:bCs/>
          <w:sz w:val="24"/>
          <w:szCs w:val="24"/>
        </w:rPr>
        <w:t>esparcimiento, en condiciones favorables acordes con el tipo de discapacidad.</w:t>
      </w:r>
    </w:p>
    <w:p w:rsidR="00315DA0" w:rsidRDefault="00315DA0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Plazo de cumplimiento: </w:t>
      </w:r>
      <w:r w:rsidRPr="00E016F3">
        <w:rPr>
          <w:rFonts w:ascii="Arial" w:hAnsi="Arial" w:cs="Arial"/>
          <w:sz w:val="24"/>
          <w:szCs w:val="24"/>
        </w:rPr>
        <w:t>de 2014 a 2018, 5 años</w:t>
      </w:r>
    </w:p>
    <w:p w:rsidR="00315DA0" w:rsidRDefault="00315DA0" w:rsidP="009F1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12681" w:rsidRPr="00E016F3" w:rsidRDefault="00C12681" w:rsidP="009F1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Dependencias Responsables: </w:t>
      </w:r>
      <w:r w:rsidRPr="00E016F3">
        <w:rPr>
          <w:rFonts w:ascii="Arial" w:hAnsi="Arial" w:cs="Arial"/>
          <w:sz w:val="24"/>
          <w:szCs w:val="24"/>
        </w:rPr>
        <w:t>Secretaría de Cultura de la Ciudad de México, Instituto del Deporte de la Ciudad del México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(INDEPORTE), DIF-DF, Secretaría de Turismo de la Ciudad de México (SECTUR), Secretaría de Desarrollo Social,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Delegaciones Políticas, INDEPEDI.</w:t>
      </w:r>
    </w:p>
    <w:p w:rsidR="00C12681" w:rsidRPr="00E016F3" w:rsidRDefault="00C12681" w:rsidP="00E016F3">
      <w:pPr>
        <w:jc w:val="both"/>
        <w:rPr>
          <w:rFonts w:ascii="Arial" w:hAnsi="Arial" w:cs="Arial"/>
          <w:sz w:val="24"/>
          <w:szCs w:val="24"/>
        </w:rPr>
      </w:pP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3.1. </w:t>
      </w:r>
      <w:r w:rsidRPr="00E016F3">
        <w:rPr>
          <w:rFonts w:ascii="Arial" w:hAnsi="Arial" w:cs="Arial"/>
          <w:sz w:val="24"/>
          <w:szCs w:val="24"/>
        </w:rPr>
        <w:t>Instituto del Deporte de la Ciudad del México (INDEPORTE), DIF-DF, Delegaciones Políticas,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fomentarán el otorgamiento de estímulos, becas económicas o académicas, a deportistas con discapacidad de todas las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categorías.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3.2. </w:t>
      </w:r>
      <w:r w:rsidRPr="00E016F3">
        <w:rPr>
          <w:rFonts w:ascii="Arial" w:hAnsi="Arial" w:cs="Arial"/>
          <w:sz w:val="24"/>
          <w:szCs w:val="24"/>
        </w:rPr>
        <w:t>Secretaría de Cultura de la Ciudad de México, estimulará la producción artística en los ámbitos de la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música, artes escénicas, artes plásticas y literatura de las Personas con Discapacidad, mediante el otorgamiento de recursos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económicos por proyecto individual o colectivo.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3.3. </w:t>
      </w:r>
      <w:r w:rsidRPr="00E016F3">
        <w:rPr>
          <w:rFonts w:ascii="Arial" w:hAnsi="Arial" w:cs="Arial"/>
          <w:sz w:val="24"/>
          <w:szCs w:val="24"/>
        </w:rPr>
        <w:t>Secretaría de Cultura de la Ciudad de México, Instituto del Deporte de la Ciudad del México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(INDEPORTE), DIF-DF, Secretaría de Turismo de la Ciudad de México (SECTUR), Secretaría de Desarrollo Social,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Delegaciones Políticas, fomentarán que los propietarios de bienes muebles e inmuebles donde se desarrollen actividades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turísticas, recreativas y deportivas, deberán mantener condiciones para el disfrute y adecuación a las necesidades de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personas con algún tipo de discapacidad.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b/>
          <w:bCs/>
          <w:sz w:val="24"/>
          <w:szCs w:val="24"/>
        </w:rPr>
        <w:t xml:space="preserve">Política Pública 3.4. </w:t>
      </w:r>
      <w:r w:rsidRPr="00E016F3">
        <w:rPr>
          <w:rFonts w:ascii="Arial" w:hAnsi="Arial" w:cs="Arial"/>
          <w:sz w:val="24"/>
          <w:szCs w:val="24"/>
        </w:rPr>
        <w:t>Secretaría de Cultura de la Ciudad de México, Instituto del Deporte de la Ciudad del México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(INDEPORTE), DIF-DF, Secretaría de Turismo de la Ciudad de México (SECTUR), Secretaría de Desarrollo Social,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Delegaciones Políticas, promoverán que se incentive a las personas físicas y morales que celebren espectáculos públicos a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fin de que proporcionen las facilidades para la asistencia de Personas con Discapacidad.</w:t>
      </w:r>
    </w:p>
    <w:p w:rsidR="00315DA0" w:rsidRDefault="00315DA0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12681" w:rsidRDefault="00F839E3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Subprograma J</w:t>
      </w:r>
      <w:r w:rsidRPr="00E016F3">
        <w:rPr>
          <w:rFonts w:ascii="Arial" w:hAnsi="Arial" w:cs="Arial"/>
          <w:b/>
          <w:bCs/>
          <w:sz w:val="24"/>
          <w:szCs w:val="24"/>
        </w:rPr>
        <w:t>usticia</w:t>
      </w:r>
    </w:p>
    <w:p w:rsidR="00F839E3" w:rsidRPr="00E016F3" w:rsidRDefault="00F839E3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sz w:val="24"/>
          <w:szCs w:val="24"/>
        </w:rPr>
        <w:t>De acuerdo con la reforma constitucional en materia de Derechos Humanos del año 2011, todas las autoridades están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obligadas al respeto, promoción, protección y garantía de los derechos humanos contenidos en la Constitución, los Tratados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Internacionales de los que el Estado Mexicano es parte en esta materia y las leyes que emanen de ella, de conformidad con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los principios de universalidad, interdependencia, indivisibilidad y progresividad.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016F3">
        <w:rPr>
          <w:rFonts w:ascii="Arial" w:hAnsi="Arial" w:cs="Arial"/>
          <w:sz w:val="24"/>
          <w:szCs w:val="24"/>
        </w:rPr>
        <w:t>Para garantizarlos, las autoridades tienen el deber de acudir al derecho interno tanto de origen Nacional como Internacional,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brindando la protección más amplia de la persona, ejerciendo con ello un control de constitucionalidad y convencionalidad</w:t>
      </w:r>
      <w:r w:rsidRPr="00E016F3">
        <w:rPr>
          <w:rFonts w:ascii="Arial" w:hAnsi="Arial" w:cs="Arial"/>
          <w:i/>
          <w:iCs/>
          <w:sz w:val="24"/>
          <w:szCs w:val="24"/>
        </w:rPr>
        <w:t>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sz w:val="24"/>
          <w:szCs w:val="24"/>
        </w:rPr>
        <w:t>De acuerdo con el Protocolo de Actuación para quienes imparten Justicia en Casos que Involucren los Derechos de las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Personas con Discapacidad (Suprema Corte de la Justicia de la Nación, 2014), esto supone un enriquecimiento de las</w:t>
      </w:r>
      <w:r w:rsidR="009F15C4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fuentes jurídicas de garantía de los Derechos Humanos, y condiciona la aplicación de la norma a su mayor capacidad</w:t>
      </w:r>
      <w:r w:rsidR="00A67C7C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 xml:space="preserve">protectora de los derechos (de conformidad con el principio </w:t>
      </w:r>
      <w:r w:rsidRPr="00E016F3">
        <w:rPr>
          <w:rFonts w:ascii="Arial" w:hAnsi="Arial" w:cs="Arial"/>
          <w:i/>
          <w:iCs/>
          <w:sz w:val="24"/>
          <w:szCs w:val="24"/>
        </w:rPr>
        <w:t>pro persona</w:t>
      </w:r>
      <w:r w:rsidRPr="00E016F3">
        <w:rPr>
          <w:rFonts w:ascii="Arial" w:hAnsi="Arial" w:cs="Arial"/>
          <w:sz w:val="24"/>
          <w:szCs w:val="24"/>
        </w:rPr>
        <w:t>), sin generar de ninguna manera una relación</w:t>
      </w:r>
      <w:r w:rsidR="00A67C7C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jerárquica entre normas, ni asignar primacía a unas sobre otras (Constitucional y de fuente Internacional).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sz w:val="24"/>
          <w:szCs w:val="24"/>
        </w:rPr>
        <w:t>Promover el respeto de los derechos que a las Personas con Discapacidad, les han sido reconocidos tanto en la Constitución</w:t>
      </w:r>
      <w:r w:rsidR="00A67C7C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como en la Convención Sobre los Derechos de las Personas con Discapacidad, es fundamental para reconocer que su</w:t>
      </w:r>
      <w:r w:rsidR="00A67C7C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i/>
          <w:iCs/>
          <w:sz w:val="24"/>
          <w:szCs w:val="24"/>
        </w:rPr>
        <w:t xml:space="preserve">exigibilidad y justiciabilidad </w:t>
      </w:r>
      <w:r w:rsidRPr="00E016F3">
        <w:rPr>
          <w:rFonts w:ascii="Arial" w:hAnsi="Arial" w:cs="Arial"/>
          <w:sz w:val="24"/>
          <w:szCs w:val="24"/>
        </w:rPr>
        <w:t>debe enmarcarse en el modelo social y de Derechos Humanos sobre la discapacidad, tal como</w:t>
      </w:r>
      <w:r w:rsidR="00A67C7C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lo dispone la Convención.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sz w:val="24"/>
          <w:szCs w:val="24"/>
        </w:rPr>
        <w:t>Dicha Convención indica con precisión que las Personas con Discapacidad deben tener acceso a la justicia en igualdad de</w:t>
      </w:r>
      <w:r w:rsidR="00A67C7C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condiciones con las demás, incluso mediante ajustes de procedimiento y adecuados a la edad, para facilitar el desempeño de</w:t>
      </w:r>
      <w:r w:rsidR="00A67C7C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las funciones efectivas de esas personas como participantes directos e indirectos, incluida la declaración como testigos, en</w:t>
      </w:r>
      <w:r w:rsidR="00A67C7C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todos los procedimientos judiciales, con inclusión de la etapa de investigación y otras etapas preliminares. Se deben tomar</w:t>
      </w:r>
      <w:r w:rsidR="00A67C7C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todas las medidas que sean pertinentes y efectivas para garantizar que tanto la impartición, como la procuración y la</w:t>
      </w:r>
      <w:r w:rsidR="00A67C7C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administración de justicia para las Personas con Discapacidad en la Ciudad de México, se realicen en igualdad de</w:t>
      </w:r>
      <w:r w:rsidR="00A67C7C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condiciones con las demás.</w:t>
      </w:r>
    </w:p>
    <w:p w:rsidR="00C12681" w:rsidRPr="00E016F3" w:rsidRDefault="00C12681" w:rsidP="00A67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sz w:val="24"/>
          <w:szCs w:val="24"/>
        </w:rPr>
        <w:t>El igual reconocimiento de las Personas con Discapacidad ante la ley, también es parte del Marco Convencional</w:t>
      </w:r>
      <w:r w:rsidR="00A67C7C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mencionado, que reafirma que las Personas con Discapacidad tienen derecho en todas partes al reconocimiento de su</w:t>
      </w:r>
      <w:r w:rsidR="00A67C7C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personalidad y su capacidad jurídica en todos los aspectos de la vida.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sz w:val="24"/>
          <w:szCs w:val="24"/>
        </w:rPr>
        <w:t>Sin embargo, de acuerdo con las recomendaciones en términos de ―Acceso a la Justicia‖, que puntualizó la Relatora</w:t>
      </w:r>
      <w:r w:rsidR="00A67C7C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Especial sobre la independencia de los magistrados y abogados, quien visitó México en misión oficial por invitación del</w:t>
      </w:r>
      <w:r w:rsidR="00A67C7C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Gobierno del primero al quince de octubre de 2010, sabemos que: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sz w:val="24"/>
          <w:szCs w:val="24"/>
        </w:rPr>
        <w:t>- La población, especialmente los grupos vulnerables, en particular las Personas con Discapacidad, así como de este grupo,</w:t>
      </w:r>
      <w:r w:rsidR="00E71D82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quienes viven en zonas marginales, percibe generalmente el sistema de justicia como algo distante y ve en sus operadores a</w:t>
      </w:r>
      <w:r w:rsidR="00E71D82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figuras alejadas a las cuales no puede acceder fácilmente.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sz w:val="24"/>
          <w:szCs w:val="24"/>
        </w:rPr>
        <w:t>- La distancia geográfica que separa a las y los justiciables de los tribunales en algunas regiones; la carencia de</w:t>
      </w:r>
      <w:r w:rsidR="00E71D82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infraestructura; la falta de instalaciones apropiadas para Personas con Discapacidad y el trato discriminatorio contra</w:t>
      </w:r>
      <w:r w:rsidR="00E71D82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determinados grupos constituyen, entre otros factores, obstáculos para garantizar el acceso a la justicia.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sz w:val="24"/>
          <w:szCs w:val="24"/>
        </w:rPr>
        <w:t>- En las zonas más remotas de la Ciudad, las infraestructuras son deficientes y las víctimas, las y los justiciables; las y los</w:t>
      </w:r>
      <w:r w:rsidR="00E71D82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litigantes; abogadas y abogados; defensoras y defensores públicos deben recorrer distancias muy largas para llegar a los</w:t>
      </w:r>
      <w:r w:rsidR="00E71D82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juzgados.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sz w:val="24"/>
          <w:szCs w:val="24"/>
        </w:rPr>
        <w:t>De acuerdo con lo anterior, resulta necesaria la existencia de mecanismos, en todos los ámbitos y entornos, para que las</w:t>
      </w:r>
      <w:r w:rsidR="00E71D82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Personas con Discapacidad puedan mejorar sus condiciones de vida, y en general, sean reconocidas como personas titulares</w:t>
      </w:r>
      <w:r w:rsidR="00E71D82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de Derechos y como partícipes de la sociedad.</w:t>
      </w:r>
    </w:p>
    <w:p w:rsidR="00C12681" w:rsidRPr="00E016F3" w:rsidRDefault="00C12681" w:rsidP="00E01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016F3">
        <w:rPr>
          <w:rFonts w:ascii="Arial" w:hAnsi="Arial" w:cs="Arial"/>
          <w:sz w:val="24"/>
          <w:szCs w:val="24"/>
        </w:rPr>
        <w:t>Ya que como indica la Corte Interamericana de Derechos Humanos, se debe buscar que las Personas con Discapacidad</w:t>
      </w:r>
      <w:r w:rsidR="00E71D82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 xml:space="preserve">disfruten </w:t>
      </w:r>
      <w:r w:rsidRPr="00E016F3">
        <w:rPr>
          <w:rFonts w:ascii="Arial" w:hAnsi="Arial" w:cs="Arial"/>
          <w:i/>
          <w:iCs/>
          <w:sz w:val="24"/>
          <w:szCs w:val="24"/>
        </w:rPr>
        <w:t>“de un verdadero acceso a la justicia y ser beneficiarios de un debido proceso legal en condiciones de igualdad</w:t>
      </w:r>
      <w:r w:rsidR="00E71D82">
        <w:rPr>
          <w:rFonts w:ascii="Arial" w:hAnsi="Arial" w:cs="Arial"/>
          <w:i/>
          <w:iCs/>
          <w:sz w:val="24"/>
          <w:szCs w:val="24"/>
        </w:rPr>
        <w:t xml:space="preserve"> </w:t>
      </w:r>
      <w:r w:rsidRPr="00E016F3">
        <w:rPr>
          <w:rFonts w:ascii="Arial" w:hAnsi="Arial" w:cs="Arial"/>
          <w:i/>
          <w:iCs/>
          <w:sz w:val="24"/>
          <w:szCs w:val="24"/>
        </w:rPr>
        <w:t>con quienes no afrontan esas desventajas. Para alcanzar sus objetivos, el proceso debe reconocer y resolver los factores de</w:t>
      </w:r>
      <w:r w:rsidR="00E71D82">
        <w:rPr>
          <w:rFonts w:ascii="Arial" w:hAnsi="Arial" w:cs="Arial"/>
          <w:i/>
          <w:iCs/>
          <w:sz w:val="24"/>
          <w:szCs w:val="24"/>
        </w:rPr>
        <w:t xml:space="preserve"> </w:t>
      </w:r>
      <w:r w:rsidRPr="00E016F3">
        <w:rPr>
          <w:rFonts w:ascii="Arial" w:hAnsi="Arial" w:cs="Arial"/>
          <w:i/>
          <w:iCs/>
          <w:sz w:val="24"/>
          <w:szCs w:val="24"/>
        </w:rPr>
        <w:t>desigualdad real de quienes son llevados ante la justicia. La presencia de condiciones de desigualdad real obliga a adoptar</w:t>
      </w:r>
      <w:r w:rsidR="00E71D82">
        <w:rPr>
          <w:rFonts w:ascii="Arial" w:hAnsi="Arial" w:cs="Arial"/>
          <w:i/>
          <w:iCs/>
          <w:sz w:val="24"/>
          <w:szCs w:val="24"/>
        </w:rPr>
        <w:t xml:space="preserve"> </w:t>
      </w:r>
      <w:r w:rsidRPr="00E016F3">
        <w:rPr>
          <w:rFonts w:ascii="Arial" w:hAnsi="Arial" w:cs="Arial"/>
          <w:i/>
          <w:iCs/>
          <w:sz w:val="24"/>
          <w:szCs w:val="24"/>
        </w:rPr>
        <w:t>medidas de compensación que contribuyan a reducir o eliminar los obstáculos y deficiencias que impidan o reduzcan la</w:t>
      </w:r>
      <w:r w:rsidR="00E71D82">
        <w:rPr>
          <w:rFonts w:ascii="Arial" w:hAnsi="Arial" w:cs="Arial"/>
          <w:i/>
          <w:iCs/>
          <w:sz w:val="24"/>
          <w:szCs w:val="24"/>
        </w:rPr>
        <w:t xml:space="preserve"> </w:t>
      </w:r>
      <w:r w:rsidRPr="00E016F3">
        <w:rPr>
          <w:rFonts w:ascii="Arial" w:hAnsi="Arial" w:cs="Arial"/>
          <w:i/>
          <w:iCs/>
          <w:sz w:val="24"/>
          <w:szCs w:val="24"/>
        </w:rPr>
        <w:t>defensa eficaz de los propios intereses”.</w:t>
      </w:r>
    </w:p>
    <w:p w:rsidR="00C12681" w:rsidRPr="00E016F3" w:rsidRDefault="00C12681" w:rsidP="00E71D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6F3">
        <w:rPr>
          <w:rFonts w:ascii="Arial" w:hAnsi="Arial" w:cs="Arial"/>
          <w:sz w:val="24"/>
          <w:szCs w:val="24"/>
        </w:rPr>
        <w:t>Por ello, el Programa para la Integración al Desarrollo de las Personas con Discapacidad en el Distrito Federal 2014-2018</w:t>
      </w:r>
      <w:r w:rsidR="00E71D82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(PID-PCD), de acuerdo con lo anterior y con lo establecido de manera puntual en los Artículos 12, 13, 14 y 15 de la Ley</w:t>
      </w:r>
      <w:r w:rsidR="00E71D82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para la Integración al Desarrollo de las Personas con Discapacidad, buscará colocar en la Agenda Pública en materia de</w:t>
      </w:r>
      <w:r w:rsidR="00E71D82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Discapacidad del Distrito Federal, la adopción de acciones encaminadas a garantizar tanto la procuración y la impartición,</w:t>
      </w:r>
      <w:r w:rsidR="00E71D82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como la administración de justicia bajo estándares óptimos de eficacia, tomando en consideración las necesidades</w:t>
      </w:r>
      <w:r w:rsidR="00E71D82">
        <w:rPr>
          <w:rFonts w:ascii="Arial" w:hAnsi="Arial" w:cs="Arial"/>
          <w:sz w:val="24"/>
          <w:szCs w:val="24"/>
        </w:rPr>
        <w:t xml:space="preserve"> </w:t>
      </w:r>
      <w:r w:rsidRPr="00E016F3">
        <w:rPr>
          <w:rFonts w:ascii="Arial" w:hAnsi="Arial" w:cs="Arial"/>
          <w:sz w:val="24"/>
          <w:szCs w:val="24"/>
        </w:rPr>
        <w:t>particulares y concretas de las Personas con Discapacidad.</w:t>
      </w:r>
    </w:p>
    <w:sectPr w:rsidR="00C12681" w:rsidRPr="00E016F3" w:rsidSect="00810097">
      <w:pgSz w:w="12240" w:h="15840"/>
      <w:pgMar w:top="993" w:right="104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534B"/>
    <w:multiLevelType w:val="hybridMultilevel"/>
    <w:tmpl w:val="98045A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A534F"/>
    <w:multiLevelType w:val="hybridMultilevel"/>
    <w:tmpl w:val="A96651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C4939"/>
    <w:multiLevelType w:val="hybridMultilevel"/>
    <w:tmpl w:val="BB040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002F"/>
    <w:multiLevelType w:val="hybridMultilevel"/>
    <w:tmpl w:val="92F66364"/>
    <w:lvl w:ilvl="0" w:tplc="53043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36F91"/>
    <w:multiLevelType w:val="hybridMultilevel"/>
    <w:tmpl w:val="BF887402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A904831"/>
    <w:multiLevelType w:val="hybridMultilevel"/>
    <w:tmpl w:val="A84E2580"/>
    <w:lvl w:ilvl="0" w:tplc="48A0AC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76307"/>
    <w:multiLevelType w:val="hybridMultilevel"/>
    <w:tmpl w:val="814E13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7463A"/>
    <w:multiLevelType w:val="hybridMultilevel"/>
    <w:tmpl w:val="C6F2B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E4AC7"/>
    <w:multiLevelType w:val="hybridMultilevel"/>
    <w:tmpl w:val="E6920E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4674B"/>
    <w:multiLevelType w:val="hybridMultilevel"/>
    <w:tmpl w:val="CAC80A7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6D285B"/>
    <w:multiLevelType w:val="hybridMultilevel"/>
    <w:tmpl w:val="C80029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2B"/>
    <w:rsid w:val="000070BC"/>
    <w:rsid w:val="00034C40"/>
    <w:rsid w:val="0004425E"/>
    <w:rsid w:val="00062015"/>
    <w:rsid w:val="00083A50"/>
    <w:rsid w:val="001A6E12"/>
    <w:rsid w:val="001A785D"/>
    <w:rsid w:val="00210239"/>
    <w:rsid w:val="002937C6"/>
    <w:rsid w:val="002A11C1"/>
    <w:rsid w:val="00315DA0"/>
    <w:rsid w:val="003268AE"/>
    <w:rsid w:val="0037667D"/>
    <w:rsid w:val="003839C9"/>
    <w:rsid w:val="003E0D88"/>
    <w:rsid w:val="003F018E"/>
    <w:rsid w:val="003F4806"/>
    <w:rsid w:val="00424035"/>
    <w:rsid w:val="00440FE5"/>
    <w:rsid w:val="00510D1B"/>
    <w:rsid w:val="00523E89"/>
    <w:rsid w:val="0058564B"/>
    <w:rsid w:val="00604CFE"/>
    <w:rsid w:val="00610720"/>
    <w:rsid w:val="00660CD9"/>
    <w:rsid w:val="00663E95"/>
    <w:rsid w:val="0068702B"/>
    <w:rsid w:val="0069550E"/>
    <w:rsid w:val="0069555A"/>
    <w:rsid w:val="006C53F7"/>
    <w:rsid w:val="006F13C4"/>
    <w:rsid w:val="0072105A"/>
    <w:rsid w:val="007A5E8D"/>
    <w:rsid w:val="007B2D47"/>
    <w:rsid w:val="00810097"/>
    <w:rsid w:val="008257DD"/>
    <w:rsid w:val="00834CA2"/>
    <w:rsid w:val="008A1051"/>
    <w:rsid w:val="00994B56"/>
    <w:rsid w:val="009E1B63"/>
    <w:rsid w:val="009E461B"/>
    <w:rsid w:val="009F15C4"/>
    <w:rsid w:val="00A01DFB"/>
    <w:rsid w:val="00A26CC8"/>
    <w:rsid w:val="00A4199B"/>
    <w:rsid w:val="00A5215F"/>
    <w:rsid w:val="00A67212"/>
    <w:rsid w:val="00A67C7C"/>
    <w:rsid w:val="00AF3273"/>
    <w:rsid w:val="00B061E7"/>
    <w:rsid w:val="00B5614A"/>
    <w:rsid w:val="00B81A9E"/>
    <w:rsid w:val="00B81E4C"/>
    <w:rsid w:val="00B82933"/>
    <w:rsid w:val="00B960E3"/>
    <w:rsid w:val="00BE617E"/>
    <w:rsid w:val="00C038B7"/>
    <w:rsid w:val="00C11CE1"/>
    <w:rsid w:val="00C12681"/>
    <w:rsid w:val="00C61FA8"/>
    <w:rsid w:val="00C7051B"/>
    <w:rsid w:val="00C8204C"/>
    <w:rsid w:val="00CF4EB0"/>
    <w:rsid w:val="00CF501B"/>
    <w:rsid w:val="00D14148"/>
    <w:rsid w:val="00D607D8"/>
    <w:rsid w:val="00D80924"/>
    <w:rsid w:val="00D90947"/>
    <w:rsid w:val="00D97EFB"/>
    <w:rsid w:val="00DD5F49"/>
    <w:rsid w:val="00E016F3"/>
    <w:rsid w:val="00E2443F"/>
    <w:rsid w:val="00E45614"/>
    <w:rsid w:val="00E61CBF"/>
    <w:rsid w:val="00E71D82"/>
    <w:rsid w:val="00F02EE7"/>
    <w:rsid w:val="00F115D5"/>
    <w:rsid w:val="00F13D01"/>
    <w:rsid w:val="00F716D7"/>
    <w:rsid w:val="00F77B03"/>
    <w:rsid w:val="00F81C9D"/>
    <w:rsid w:val="00F839E3"/>
    <w:rsid w:val="00F8404C"/>
    <w:rsid w:val="00F90675"/>
    <w:rsid w:val="00FA2909"/>
    <w:rsid w:val="00FB2528"/>
    <w:rsid w:val="00FC7ECB"/>
    <w:rsid w:val="00F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727B2-64DD-45D0-BA59-0B071B0F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909"/>
    <w:pPr>
      <w:ind w:left="720"/>
      <w:contextualSpacing/>
    </w:pPr>
  </w:style>
  <w:style w:type="table" w:styleId="Tablaconcuadrcula">
    <w:name w:val="Table Grid"/>
    <w:basedOn w:val="Tablanormal"/>
    <w:uiPriority w:val="59"/>
    <w:rsid w:val="002A1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QuickStyle" Target="diagrams/quickStyle2.xml"/><Relationship Id="rId18" Type="http://schemas.openxmlformats.org/officeDocument/2006/relationships/chart" Target="charts/chart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Layout" Target="diagrams/layout2.xml"/><Relationship Id="rId17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Data" Target="diagrams/data3.xml"/><Relationship Id="rId5" Type="http://schemas.openxmlformats.org/officeDocument/2006/relationships/diagramData" Target="diagrams/data1.xml"/><Relationship Id="rId15" Type="http://schemas.microsoft.com/office/2007/relationships/diagramDrawing" Target="diagrams/drawing2.xml"/><Relationship Id="rId10" Type="http://schemas.openxmlformats.org/officeDocument/2006/relationships/diagramData" Target="diagrams/data2.xml"/><Relationship Id="rId19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diagramColors" Target="diagrams/colors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Magnitud de Discapacidad</a:t>
            </a:r>
            <a:r>
              <a:rPr lang="en-US" sz="1200" baseline="0"/>
              <a:t> Nacional según sexo en 2010</a:t>
            </a:r>
            <a:endParaRPr lang="en-US" sz="1200"/>
          </a:p>
        </c:rich>
      </c:tx>
      <c:layout>
        <c:manualLayout>
          <c:xMode val="edge"/>
          <c:yMode val="edge"/>
          <c:x val="0.14627324239077122"/>
          <c:y val="2.732862673650648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220401236339192"/>
          <c:y val="0.3192571389671392"/>
          <c:w val="0.69401556082083737"/>
          <c:h val="0.5565758891089622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Pt>
            <c:idx val="1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0.11284956506767892"/>
                  <c:y val="1.704317452949752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48.9%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484984381789412"/>
                  <c:y val="-1.48960846077898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51.1%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Hombres Nacional </c:v>
                </c:pt>
                <c:pt idx="1">
                  <c:v>Mujeres Nacional 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48.9</c:v>
                </c:pt>
                <c:pt idx="1">
                  <c:v>51.1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2.3806614959319732E-2"/>
          <c:y val="0.49463730578346293"/>
          <c:w val="0.26767384060841032"/>
          <c:h val="0.2025742338297071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/>
              </a:rPr>
              <a:t>Magnitud de Discapacidad Ciudad de México según sexo en 2010</a:t>
            </a:r>
            <a:endParaRPr lang="en-US" sz="1200"/>
          </a:p>
        </c:rich>
      </c:tx>
      <c:layout>
        <c:manualLayout>
          <c:xMode val="edge"/>
          <c:yMode val="edge"/>
          <c:x val="0.13984944590259552"/>
          <c:y val="5.1621047369078868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9761750551351557E-3"/>
          <c:y val="0.25704507617506195"/>
          <c:w val="0.48950538233871432"/>
          <c:h val="0.591429602195059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Pt>
            <c:idx val="1"/>
            <c:bubble3D val="0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-0.11284103859050773"/>
                  <c:y val="1.121497430411954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43.1%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2720224967820748"/>
                  <c:y val="-7.546129466992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56.9%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Hombres Ciudad de México</c:v>
                </c:pt>
                <c:pt idx="1">
                  <c:v>Mujeres Ciudad de México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43.1</c:v>
                </c:pt>
                <c:pt idx="1">
                  <c:v>56.9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776163577185119"/>
          <c:y val="0.41381246007552963"/>
          <c:w val="0.26852910070261449"/>
          <c:h val="0.3040255555526136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Distribución</a:t>
            </a:r>
            <a:r>
              <a:rPr lang="en-US" sz="1200" baseline="0"/>
              <a:t> porcentual de la población con discapacidad según grupo de edad y género, 2010</a:t>
            </a:r>
            <a:endParaRPr lang="en-US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958145934531471E-2"/>
          <c:y val="0.16082873163187295"/>
          <c:w val="0.57748201943772304"/>
          <c:h val="0.81226724644494053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10.8%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9454568180523135E-2"/>
                  <c:y val="7.51619986139080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7.4%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11.6%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8.2%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33.6%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43.9%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52.3%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Hoja1!$A$2:$A$9</c:f>
              <c:strCache>
                <c:ptCount val="8"/>
                <c:pt idx="0">
                  <c:v>Niños </c:v>
                </c:pt>
                <c:pt idx="1">
                  <c:v>Niñas</c:v>
                </c:pt>
                <c:pt idx="2">
                  <c:v>Jóvenes hombres</c:v>
                </c:pt>
                <c:pt idx="3">
                  <c:v>Jóvenes mujeres</c:v>
                </c:pt>
                <c:pt idx="4">
                  <c:v>Adultos hombres </c:v>
                </c:pt>
                <c:pt idx="5">
                  <c:v>Adultas mujeres</c:v>
                </c:pt>
                <c:pt idx="6">
                  <c:v>Adultos mayores hombres</c:v>
                </c:pt>
                <c:pt idx="7">
                  <c:v>Adultas mayores mujeres</c:v>
                </c:pt>
              </c:strCache>
            </c:strRef>
          </c:cat>
          <c:val>
            <c:numRef>
              <c:f>Hoja1!$B$2:$B$9</c:f>
              <c:numCache>
                <c:formatCode>General</c:formatCode>
                <c:ptCount val="8"/>
                <c:pt idx="0">
                  <c:v>10.8</c:v>
                </c:pt>
                <c:pt idx="1">
                  <c:v>7.4</c:v>
                </c:pt>
                <c:pt idx="2">
                  <c:v>11.6</c:v>
                </c:pt>
                <c:pt idx="3">
                  <c:v>8.1999999999999993</c:v>
                </c:pt>
                <c:pt idx="4">
                  <c:v>33.6</c:v>
                </c:pt>
                <c:pt idx="5">
                  <c:v>32</c:v>
                </c:pt>
                <c:pt idx="6">
                  <c:v>43.9</c:v>
                </c:pt>
                <c:pt idx="7">
                  <c:v>52.3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374300695765833"/>
          <c:y val="0.3413225996004231"/>
          <c:w val="0.25486669970147025"/>
          <c:h val="0.4318307674227288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Distribución porcentual de la población por tipo de Discapacidad, 2010 </a:t>
            </a:r>
          </a:p>
        </c:rich>
      </c:tx>
      <c:layout>
        <c:manualLayout>
          <c:xMode val="edge"/>
          <c:yMode val="edge"/>
          <c:x val="0.14500785197495727"/>
          <c:y val="3.028422759402719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1.7525773195876289E-2"/>
          <c:y val="2.8004335692215689E-2"/>
          <c:w val="0.66835181427063883"/>
          <c:h val="0.97199566430778428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Distribución porcentual de la población por tipo de Discapacidad, 2010 </c:v>
                </c:pt>
              </c:strCache>
            </c:strRef>
          </c:tx>
          <c:explosion val="25"/>
          <c:dPt>
            <c:idx val="0"/>
            <c:bubble3D val="0"/>
            <c:explosion val="0"/>
          </c:dPt>
          <c:dPt>
            <c:idx val="1"/>
            <c:bubble3D val="0"/>
            <c:explosion val="0"/>
          </c:dPt>
          <c:dPt>
            <c:idx val="2"/>
            <c:bubble3D val="0"/>
            <c:explosion val="0"/>
          </c:dPt>
          <c:dPt>
            <c:idx val="3"/>
            <c:bubble3D val="0"/>
            <c:explosion val="0"/>
          </c:dPt>
          <c:dPt>
            <c:idx val="4"/>
            <c:bubble3D val="0"/>
            <c:explosion val="0"/>
          </c:dPt>
          <c:dPt>
            <c:idx val="5"/>
            <c:bubble3D val="0"/>
            <c:explosion val="0"/>
          </c:dPt>
          <c:dPt>
            <c:idx val="6"/>
            <c:bubble3D val="0"/>
            <c:explosion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60.2%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12.9%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9.2%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7.4%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6.6%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7433314392401979E-2"/>
                  <c:y val="9.328540815309478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4.4%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Hoja1!$A$2:$A$8</c:f>
              <c:strCache>
                <c:ptCount val="7"/>
                <c:pt idx="0">
                  <c:v>Caminar y moverse</c:v>
                </c:pt>
                <c:pt idx="1">
                  <c:v>Ver</c:v>
                </c:pt>
                <c:pt idx="2">
                  <c:v>Escuchar</c:v>
                </c:pt>
                <c:pt idx="3">
                  <c:v>Mental</c:v>
                </c:pt>
                <c:pt idx="4">
                  <c:v>Hablar o comunicarse</c:v>
                </c:pt>
                <c:pt idx="5">
                  <c:v>Atender el cuidado personal y realizar tareas </c:v>
                </c:pt>
                <c:pt idx="6">
                  <c:v>Poner atención o aprender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60.2</c:v>
                </c:pt>
                <c:pt idx="1">
                  <c:v>25</c:v>
                </c:pt>
                <c:pt idx="2">
                  <c:v>12.9</c:v>
                </c:pt>
                <c:pt idx="3">
                  <c:v>9.1999999999999993</c:v>
                </c:pt>
                <c:pt idx="4">
                  <c:v>7.4</c:v>
                </c:pt>
                <c:pt idx="5">
                  <c:v>6.6</c:v>
                </c:pt>
                <c:pt idx="6">
                  <c:v>4.4000000000000004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E69E09-5EA4-4DFB-B449-645DE9700181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DF63C5E7-B371-49FD-A9F2-52B772315757}">
      <dgm:prSet phldrT="[Texto]"/>
      <dgm:spPr>
        <a:xfrm>
          <a:off x="2266586" y="1574525"/>
          <a:ext cx="963859" cy="963859"/>
        </a:xfr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7030A0"/>
          </a:solidFill>
          <a:prstDash val="solid"/>
        </a:ln>
        <a:effectLst/>
      </dgm:spPr>
      <dgm:t>
        <a:bodyPr/>
        <a:lstStyle/>
        <a:p>
          <a:pPr algn="ctr"/>
          <a:r>
            <a:rPr lang="es-MX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Personas con discapacidad</a:t>
          </a:r>
        </a:p>
      </dgm:t>
    </dgm:pt>
    <dgm:pt modelId="{FC98F82E-4892-453E-8C38-1B6B0A94C95F}" type="parTrans" cxnId="{9605DB7F-A72D-491A-83DF-056D0C68618D}">
      <dgm:prSet/>
      <dgm:spPr/>
      <dgm:t>
        <a:bodyPr/>
        <a:lstStyle/>
        <a:p>
          <a:pPr algn="ctr"/>
          <a:endParaRPr lang="es-MX"/>
        </a:p>
      </dgm:t>
    </dgm:pt>
    <dgm:pt modelId="{7E0A2AA7-0A7E-4749-9F02-38D530E3B041}" type="sibTrans" cxnId="{9605DB7F-A72D-491A-83DF-056D0C68618D}">
      <dgm:prSet/>
      <dgm:spPr/>
      <dgm:t>
        <a:bodyPr/>
        <a:lstStyle/>
        <a:p>
          <a:pPr algn="ctr"/>
          <a:endParaRPr lang="es-MX"/>
        </a:p>
      </dgm:t>
    </dgm:pt>
    <dgm:pt modelId="{9813442A-B541-4939-BE6E-580357104E90}">
      <dgm:prSet phldrT="[Texto]"/>
      <dgm:spPr>
        <a:xfrm>
          <a:off x="2099187" y="68683"/>
          <a:ext cx="1292694" cy="1214523"/>
        </a:xfrm>
        <a:solidFill>
          <a:srgbClr val="1F497D">
            <a:lumMod val="40000"/>
            <a:lumOff val="60000"/>
          </a:srgbClr>
        </a:solidFill>
        <a:ln w="25400" cap="flat" cmpd="sng" algn="ctr">
          <a:solidFill>
            <a:srgbClr val="7030A0"/>
          </a:solidFill>
          <a:prstDash val="solid"/>
        </a:ln>
        <a:effectLst/>
      </dgm:spPr>
      <dgm:t>
        <a:bodyPr/>
        <a:lstStyle/>
        <a:p>
          <a:pPr algn="ctr"/>
          <a:r>
            <a:rPr lang="es-MX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Características</a:t>
          </a:r>
          <a:r>
            <a:rPr lang="es-MX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es-MX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del entorno</a:t>
          </a:r>
        </a:p>
      </dgm:t>
    </dgm:pt>
    <dgm:pt modelId="{432B1D53-698F-4232-9128-87E6D988CD9F}" type="parTrans" cxnId="{45CDC5F0-D4FA-422A-A884-FFA709823402}">
      <dgm:prSet/>
      <dgm:spPr>
        <a:xfrm rot="16192575">
          <a:off x="2669970" y="1269379"/>
          <a:ext cx="154400" cy="32771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s-MX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F67B308-A20E-47B4-94FB-DF5FF1E78B1F}" type="sibTrans" cxnId="{45CDC5F0-D4FA-422A-A884-FFA709823402}">
      <dgm:prSet/>
      <dgm:spPr/>
      <dgm:t>
        <a:bodyPr/>
        <a:lstStyle/>
        <a:p>
          <a:pPr algn="ctr"/>
          <a:endParaRPr lang="es-MX"/>
        </a:p>
      </dgm:t>
    </dgm:pt>
    <dgm:pt modelId="{CB1B258D-661F-45D6-A79F-A6FB5060DA92}">
      <dgm:prSet phldrT="[Texto]"/>
      <dgm:spPr>
        <a:xfrm>
          <a:off x="3650478" y="1463309"/>
          <a:ext cx="1197294" cy="1186291"/>
        </a:xfrm>
        <a:solidFill>
          <a:srgbClr val="0070C0"/>
        </a:solidFill>
        <a:ln w="25400" cap="flat" cmpd="sng" algn="ctr">
          <a:solidFill>
            <a:srgbClr val="7030A0"/>
          </a:solidFill>
          <a:prstDash val="solid"/>
        </a:ln>
        <a:effectLst/>
      </dgm:spPr>
      <dgm:t>
        <a:bodyPr/>
        <a:lstStyle/>
        <a:p>
          <a:pPr algn="ctr"/>
          <a:r>
            <a:rPr lang="es-MX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Características físicas y sociales</a:t>
          </a:r>
        </a:p>
      </dgm:t>
    </dgm:pt>
    <dgm:pt modelId="{010F7A8E-C31B-4D98-B8B2-85C4E6F9B3E5}" type="parTrans" cxnId="{21B1B361-D714-4ACB-A0A3-D9E0206D2F87}">
      <dgm:prSet/>
      <dgm:spPr>
        <a:xfrm>
          <a:off x="3322853" y="1892599"/>
          <a:ext cx="222616" cy="32771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s-MX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51D9AE4-B007-4CEA-8AB2-012A7B2CB261}" type="sibTrans" cxnId="{21B1B361-D714-4ACB-A0A3-D9E0206D2F87}">
      <dgm:prSet/>
      <dgm:spPr/>
      <dgm:t>
        <a:bodyPr/>
        <a:lstStyle/>
        <a:p>
          <a:pPr algn="ctr"/>
          <a:endParaRPr lang="es-MX"/>
        </a:p>
      </dgm:t>
    </dgm:pt>
    <dgm:pt modelId="{B395884C-6490-4BC5-B160-3535691B4679}">
      <dgm:prSet phldrT="[Texto]"/>
      <dgm:spPr>
        <a:xfrm>
          <a:off x="680801" y="1475917"/>
          <a:ext cx="1197294" cy="116107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7030A0"/>
          </a:solidFill>
          <a:prstDash val="solid"/>
        </a:ln>
        <a:effectLst/>
      </dgm:spPr>
      <dgm:t>
        <a:bodyPr/>
        <a:lstStyle/>
        <a:p>
          <a:pPr algn="ctr"/>
          <a:r>
            <a:rPr lang="es-MX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Condición de salud</a:t>
          </a:r>
        </a:p>
      </dgm:t>
    </dgm:pt>
    <dgm:pt modelId="{B1980462-6C3F-49A8-AEAA-FBF249056FEF}" type="parTrans" cxnId="{2DDEF42A-F86B-4470-82DA-231DA2681CE4}">
      <dgm:prSet/>
      <dgm:spPr>
        <a:xfrm rot="10800000">
          <a:off x="1975218" y="1892599"/>
          <a:ext cx="205900" cy="32771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s-MX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F69635F-FB7B-450B-A205-2CC4F95822C0}" type="sibTrans" cxnId="{2DDEF42A-F86B-4470-82DA-231DA2681CE4}">
      <dgm:prSet/>
      <dgm:spPr/>
      <dgm:t>
        <a:bodyPr/>
        <a:lstStyle/>
        <a:p>
          <a:pPr algn="ctr"/>
          <a:endParaRPr lang="es-MX"/>
        </a:p>
      </dgm:t>
    </dgm:pt>
    <dgm:pt modelId="{F2D553AF-9B8E-4E54-AC20-EE921789E83A}">
      <dgm:prSet phldrT="[Texto]"/>
      <dgm:spPr>
        <a:xfrm>
          <a:off x="2111006" y="2807888"/>
          <a:ext cx="1304176" cy="1282098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rgbClr val="7030A0"/>
          </a:solidFill>
          <a:prstDash val="solid"/>
        </a:ln>
        <a:effectLst/>
      </dgm:spPr>
      <dgm:t>
        <a:bodyPr/>
        <a:lstStyle/>
        <a:p>
          <a:pPr algn="ctr"/>
          <a:r>
            <a:rPr lang="es-MX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Factores personales </a:t>
          </a:r>
        </a:p>
      </dgm:t>
    </dgm:pt>
    <dgm:pt modelId="{8B2531E4-C778-479D-8C8B-7BD352626D05}" type="parTrans" cxnId="{84C22272-5AC6-4EF0-8FA0-5B15B55525A8}">
      <dgm:prSet/>
      <dgm:spPr>
        <a:xfrm rot="5364009">
          <a:off x="2683492" y="2505240"/>
          <a:ext cx="142876" cy="32771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s-MX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512AA0F-0423-4153-B908-FBABBB71E1B1}" type="sibTrans" cxnId="{84C22272-5AC6-4EF0-8FA0-5B15B55525A8}">
      <dgm:prSet/>
      <dgm:spPr/>
      <dgm:t>
        <a:bodyPr/>
        <a:lstStyle/>
        <a:p>
          <a:pPr algn="ctr"/>
          <a:endParaRPr lang="es-MX"/>
        </a:p>
      </dgm:t>
    </dgm:pt>
    <dgm:pt modelId="{B9265AE2-97C1-410F-9974-54CDDBB25CAF}" type="pres">
      <dgm:prSet presAssocID="{60E69E09-5EA4-4DFB-B449-645DE970018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7D3E56F2-6D7B-46B2-B32C-C4A9F666F394}" type="pres">
      <dgm:prSet presAssocID="{DF63C5E7-B371-49FD-A9F2-52B772315757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es-MX"/>
        </a:p>
      </dgm:t>
    </dgm:pt>
    <dgm:pt modelId="{9D54E23D-3EA4-4321-A6EF-EC434E8531F7}" type="pres">
      <dgm:prSet presAssocID="{432B1D53-698F-4232-9128-87E6D988CD9F}" presName="parTrans" presStyleLbl="sibTrans2D1" presStyleIdx="0" presStyleCnt="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3308620F-4BFC-42CF-ABF9-038F3B0A5ED4}" type="pres">
      <dgm:prSet presAssocID="{432B1D53-698F-4232-9128-87E6D988CD9F}" presName="connectorText" presStyleLbl="sibTrans2D1" presStyleIdx="0" presStyleCnt="4"/>
      <dgm:spPr/>
      <dgm:t>
        <a:bodyPr/>
        <a:lstStyle/>
        <a:p>
          <a:endParaRPr lang="es-MX"/>
        </a:p>
      </dgm:t>
    </dgm:pt>
    <dgm:pt modelId="{2B4B889E-3594-465D-AF4E-3A8AE1DB4C92}" type="pres">
      <dgm:prSet presAssocID="{9813442A-B541-4939-BE6E-580357104E90}" presName="node" presStyleLbl="node1" presStyleIdx="0" presStyleCnt="4" custScaleX="107968" custScaleY="101439" custRadScaleRad="93972" custRadScaleInc="-27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MX"/>
        </a:p>
      </dgm:t>
    </dgm:pt>
    <dgm:pt modelId="{319AB3D7-3CDD-4B39-A03B-63C1DCB62922}" type="pres">
      <dgm:prSet presAssocID="{010F7A8E-C31B-4D98-B8B2-85C4E6F9B3E5}" presName="parTrans" presStyleLbl="sibTrans2D1" presStyleIdx="1" presStyleCnt="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1539BB0D-DC1E-4F3D-B229-4B5F894713B1}" type="pres">
      <dgm:prSet presAssocID="{010F7A8E-C31B-4D98-B8B2-85C4E6F9B3E5}" presName="connectorText" presStyleLbl="sibTrans2D1" presStyleIdx="1" presStyleCnt="4"/>
      <dgm:spPr/>
      <dgm:t>
        <a:bodyPr/>
        <a:lstStyle/>
        <a:p>
          <a:endParaRPr lang="es-MX"/>
        </a:p>
      </dgm:t>
    </dgm:pt>
    <dgm:pt modelId="{AA0359E9-C22E-4F75-B158-F4AE4881B188}" type="pres">
      <dgm:prSet presAssocID="{CB1B258D-661F-45D6-A79F-A6FB5060DA92}" presName="node" presStyleLbl="node1" presStyleIdx="1" presStyleCnt="4" custScaleY="99081" custRadScaleRad="10214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MX"/>
        </a:p>
      </dgm:t>
    </dgm:pt>
    <dgm:pt modelId="{030A5F38-C149-49C1-93FF-25AC0BF28F5D}" type="pres">
      <dgm:prSet presAssocID="{8B2531E4-C778-479D-8C8B-7BD352626D05}" presName="parTrans" presStyleLbl="sibTrans2D1" presStyleIdx="2" presStyleCnt="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B3A94A5F-BE64-4987-AD53-F138B1A6C0E8}" type="pres">
      <dgm:prSet presAssocID="{8B2531E4-C778-479D-8C8B-7BD352626D05}" presName="connectorText" presStyleLbl="sibTrans2D1" presStyleIdx="2" presStyleCnt="4"/>
      <dgm:spPr/>
      <dgm:t>
        <a:bodyPr/>
        <a:lstStyle/>
        <a:p>
          <a:endParaRPr lang="es-MX"/>
        </a:p>
      </dgm:t>
    </dgm:pt>
    <dgm:pt modelId="{2D5773EE-77B2-45E8-B935-8B43A16165F8}" type="pres">
      <dgm:prSet presAssocID="{F2D553AF-9B8E-4E54-AC20-EE921789E83A}" presName="node" presStyleLbl="node1" presStyleIdx="2" presStyleCnt="4" custScaleX="108927" custScaleY="107083" custRadScaleRad="94792" custRadScaleInc="-133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MX"/>
        </a:p>
      </dgm:t>
    </dgm:pt>
    <dgm:pt modelId="{020B684B-FD29-4E94-8A9D-35789E5A15AC}" type="pres">
      <dgm:prSet presAssocID="{B1980462-6C3F-49A8-AEAA-FBF249056FEF}" presName="parTrans" presStyleLbl="sibTrans2D1" presStyleIdx="3" presStyleCnt="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242898B6-9FAB-408D-BDC3-6D6BFEAE6C86}" type="pres">
      <dgm:prSet presAssocID="{B1980462-6C3F-49A8-AEAA-FBF249056FEF}" presName="connectorText" presStyleLbl="sibTrans2D1" presStyleIdx="3" presStyleCnt="4"/>
      <dgm:spPr/>
      <dgm:t>
        <a:bodyPr/>
        <a:lstStyle/>
        <a:p>
          <a:endParaRPr lang="es-MX"/>
        </a:p>
      </dgm:t>
    </dgm:pt>
    <dgm:pt modelId="{1A77D932-5510-4312-B114-8C7743FE2FD8}" type="pres">
      <dgm:prSet presAssocID="{B395884C-6490-4BC5-B160-3535691B4679}" presName="node" presStyleLbl="node1" presStyleIdx="3" presStyleCnt="4" custScaleY="9697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MX"/>
        </a:p>
      </dgm:t>
    </dgm:pt>
  </dgm:ptLst>
  <dgm:cxnLst>
    <dgm:cxn modelId="{CBBF9AB7-4BDF-4F67-A634-11ACC49D3E17}" type="presOf" srcId="{CB1B258D-661F-45D6-A79F-A6FB5060DA92}" destId="{AA0359E9-C22E-4F75-B158-F4AE4881B188}" srcOrd="0" destOrd="0" presId="urn:microsoft.com/office/officeart/2005/8/layout/radial5"/>
    <dgm:cxn modelId="{8BBE425D-4FB3-47CD-A214-6FF11FE825D8}" type="presOf" srcId="{B395884C-6490-4BC5-B160-3535691B4679}" destId="{1A77D932-5510-4312-B114-8C7743FE2FD8}" srcOrd="0" destOrd="0" presId="urn:microsoft.com/office/officeart/2005/8/layout/radial5"/>
    <dgm:cxn modelId="{21B1B361-D714-4ACB-A0A3-D9E0206D2F87}" srcId="{DF63C5E7-B371-49FD-A9F2-52B772315757}" destId="{CB1B258D-661F-45D6-A79F-A6FB5060DA92}" srcOrd="1" destOrd="0" parTransId="{010F7A8E-C31B-4D98-B8B2-85C4E6F9B3E5}" sibTransId="{351D9AE4-B007-4CEA-8AB2-012A7B2CB261}"/>
    <dgm:cxn modelId="{9AFF9DE0-E284-42FC-8EB5-9E13639F9050}" type="presOf" srcId="{60E69E09-5EA4-4DFB-B449-645DE9700181}" destId="{B9265AE2-97C1-410F-9974-54CDDBB25CAF}" srcOrd="0" destOrd="0" presId="urn:microsoft.com/office/officeart/2005/8/layout/radial5"/>
    <dgm:cxn modelId="{FDC19C1D-5766-49CC-A2AE-FD6115A6CE8C}" type="presOf" srcId="{8B2531E4-C778-479D-8C8B-7BD352626D05}" destId="{B3A94A5F-BE64-4987-AD53-F138B1A6C0E8}" srcOrd="1" destOrd="0" presId="urn:microsoft.com/office/officeart/2005/8/layout/radial5"/>
    <dgm:cxn modelId="{647796DD-D94D-4D15-BE02-DA7001B569EE}" type="presOf" srcId="{B1980462-6C3F-49A8-AEAA-FBF249056FEF}" destId="{242898B6-9FAB-408D-BDC3-6D6BFEAE6C86}" srcOrd="1" destOrd="0" presId="urn:microsoft.com/office/officeart/2005/8/layout/radial5"/>
    <dgm:cxn modelId="{20C02EF8-623A-470A-9D94-D3C410EFA96E}" type="presOf" srcId="{8B2531E4-C778-479D-8C8B-7BD352626D05}" destId="{030A5F38-C149-49C1-93FF-25AC0BF28F5D}" srcOrd="0" destOrd="0" presId="urn:microsoft.com/office/officeart/2005/8/layout/radial5"/>
    <dgm:cxn modelId="{E8459D1C-DFDD-48DB-B21B-9E35FFEEB257}" type="presOf" srcId="{432B1D53-698F-4232-9128-87E6D988CD9F}" destId="{9D54E23D-3EA4-4321-A6EF-EC434E8531F7}" srcOrd="0" destOrd="0" presId="urn:microsoft.com/office/officeart/2005/8/layout/radial5"/>
    <dgm:cxn modelId="{84C22272-5AC6-4EF0-8FA0-5B15B55525A8}" srcId="{DF63C5E7-B371-49FD-A9F2-52B772315757}" destId="{F2D553AF-9B8E-4E54-AC20-EE921789E83A}" srcOrd="2" destOrd="0" parTransId="{8B2531E4-C778-479D-8C8B-7BD352626D05}" sibTransId="{C512AA0F-0423-4153-B908-FBABBB71E1B1}"/>
    <dgm:cxn modelId="{45CDC5F0-D4FA-422A-A884-FFA709823402}" srcId="{DF63C5E7-B371-49FD-A9F2-52B772315757}" destId="{9813442A-B541-4939-BE6E-580357104E90}" srcOrd="0" destOrd="0" parTransId="{432B1D53-698F-4232-9128-87E6D988CD9F}" sibTransId="{AF67B308-A20E-47B4-94FB-DF5FF1E78B1F}"/>
    <dgm:cxn modelId="{66CCE15B-D0E2-4156-98A8-9E259131CEB8}" type="presOf" srcId="{DF63C5E7-B371-49FD-A9F2-52B772315757}" destId="{7D3E56F2-6D7B-46B2-B32C-C4A9F666F394}" srcOrd="0" destOrd="0" presId="urn:microsoft.com/office/officeart/2005/8/layout/radial5"/>
    <dgm:cxn modelId="{C7B4B8C6-7025-498C-B62F-1BD688F70ECC}" type="presOf" srcId="{B1980462-6C3F-49A8-AEAA-FBF249056FEF}" destId="{020B684B-FD29-4E94-8A9D-35789E5A15AC}" srcOrd="0" destOrd="0" presId="urn:microsoft.com/office/officeart/2005/8/layout/radial5"/>
    <dgm:cxn modelId="{3E77A517-25E7-4FCE-B2D3-F70D27BC4E73}" type="presOf" srcId="{010F7A8E-C31B-4D98-B8B2-85C4E6F9B3E5}" destId="{1539BB0D-DC1E-4F3D-B229-4B5F894713B1}" srcOrd="1" destOrd="0" presId="urn:microsoft.com/office/officeart/2005/8/layout/radial5"/>
    <dgm:cxn modelId="{97FA0F69-D376-4D29-8415-49D9776628E6}" type="presOf" srcId="{F2D553AF-9B8E-4E54-AC20-EE921789E83A}" destId="{2D5773EE-77B2-45E8-B935-8B43A16165F8}" srcOrd="0" destOrd="0" presId="urn:microsoft.com/office/officeart/2005/8/layout/radial5"/>
    <dgm:cxn modelId="{9605DB7F-A72D-491A-83DF-056D0C68618D}" srcId="{60E69E09-5EA4-4DFB-B449-645DE9700181}" destId="{DF63C5E7-B371-49FD-A9F2-52B772315757}" srcOrd="0" destOrd="0" parTransId="{FC98F82E-4892-453E-8C38-1B6B0A94C95F}" sibTransId="{7E0A2AA7-0A7E-4749-9F02-38D530E3B041}"/>
    <dgm:cxn modelId="{2DDEF42A-F86B-4470-82DA-231DA2681CE4}" srcId="{DF63C5E7-B371-49FD-A9F2-52B772315757}" destId="{B395884C-6490-4BC5-B160-3535691B4679}" srcOrd="3" destOrd="0" parTransId="{B1980462-6C3F-49A8-AEAA-FBF249056FEF}" sibTransId="{6F69635F-FB7B-450B-A205-2CC4F95822C0}"/>
    <dgm:cxn modelId="{2EEB49FA-47A6-42FF-9654-A379921635F0}" type="presOf" srcId="{432B1D53-698F-4232-9128-87E6D988CD9F}" destId="{3308620F-4BFC-42CF-ABF9-038F3B0A5ED4}" srcOrd="1" destOrd="0" presId="urn:microsoft.com/office/officeart/2005/8/layout/radial5"/>
    <dgm:cxn modelId="{1408305E-C244-4F79-8EA9-08237F6B18EF}" type="presOf" srcId="{010F7A8E-C31B-4D98-B8B2-85C4E6F9B3E5}" destId="{319AB3D7-3CDD-4B39-A03B-63C1DCB62922}" srcOrd="0" destOrd="0" presId="urn:microsoft.com/office/officeart/2005/8/layout/radial5"/>
    <dgm:cxn modelId="{A96B98F4-F3CB-4520-BFA2-599E7949A95F}" type="presOf" srcId="{9813442A-B541-4939-BE6E-580357104E90}" destId="{2B4B889E-3594-465D-AF4E-3A8AE1DB4C92}" srcOrd="0" destOrd="0" presId="urn:microsoft.com/office/officeart/2005/8/layout/radial5"/>
    <dgm:cxn modelId="{D639C84B-7B74-46FC-BD20-B27C3D57AF80}" type="presParOf" srcId="{B9265AE2-97C1-410F-9974-54CDDBB25CAF}" destId="{7D3E56F2-6D7B-46B2-B32C-C4A9F666F394}" srcOrd="0" destOrd="0" presId="urn:microsoft.com/office/officeart/2005/8/layout/radial5"/>
    <dgm:cxn modelId="{C8C3D4D7-473C-4FF7-91CB-3BED24466E7D}" type="presParOf" srcId="{B9265AE2-97C1-410F-9974-54CDDBB25CAF}" destId="{9D54E23D-3EA4-4321-A6EF-EC434E8531F7}" srcOrd="1" destOrd="0" presId="urn:microsoft.com/office/officeart/2005/8/layout/radial5"/>
    <dgm:cxn modelId="{5635CFF4-433E-403E-A0B2-E223C3503C2E}" type="presParOf" srcId="{9D54E23D-3EA4-4321-A6EF-EC434E8531F7}" destId="{3308620F-4BFC-42CF-ABF9-038F3B0A5ED4}" srcOrd="0" destOrd="0" presId="urn:microsoft.com/office/officeart/2005/8/layout/radial5"/>
    <dgm:cxn modelId="{4B3CE993-B3D0-43E1-9B65-D4EBA1610042}" type="presParOf" srcId="{B9265AE2-97C1-410F-9974-54CDDBB25CAF}" destId="{2B4B889E-3594-465D-AF4E-3A8AE1DB4C92}" srcOrd="2" destOrd="0" presId="urn:microsoft.com/office/officeart/2005/8/layout/radial5"/>
    <dgm:cxn modelId="{41479ADA-571E-4D9F-B1F9-3597AB38FDF6}" type="presParOf" srcId="{B9265AE2-97C1-410F-9974-54CDDBB25CAF}" destId="{319AB3D7-3CDD-4B39-A03B-63C1DCB62922}" srcOrd="3" destOrd="0" presId="urn:microsoft.com/office/officeart/2005/8/layout/radial5"/>
    <dgm:cxn modelId="{3980877C-EB66-4B32-9CE3-6E0AEE30F040}" type="presParOf" srcId="{319AB3D7-3CDD-4B39-A03B-63C1DCB62922}" destId="{1539BB0D-DC1E-4F3D-B229-4B5F894713B1}" srcOrd="0" destOrd="0" presId="urn:microsoft.com/office/officeart/2005/8/layout/radial5"/>
    <dgm:cxn modelId="{FA42BE2B-DC89-4CBB-B48A-070F74C42ED2}" type="presParOf" srcId="{B9265AE2-97C1-410F-9974-54CDDBB25CAF}" destId="{AA0359E9-C22E-4F75-B158-F4AE4881B188}" srcOrd="4" destOrd="0" presId="urn:microsoft.com/office/officeart/2005/8/layout/radial5"/>
    <dgm:cxn modelId="{4D2B85DD-3143-49DE-9DAE-5E346F89845B}" type="presParOf" srcId="{B9265AE2-97C1-410F-9974-54CDDBB25CAF}" destId="{030A5F38-C149-49C1-93FF-25AC0BF28F5D}" srcOrd="5" destOrd="0" presId="urn:microsoft.com/office/officeart/2005/8/layout/radial5"/>
    <dgm:cxn modelId="{029B20F8-84FF-4329-B533-3F2FFE3896F4}" type="presParOf" srcId="{030A5F38-C149-49C1-93FF-25AC0BF28F5D}" destId="{B3A94A5F-BE64-4987-AD53-F138B1A6C0E8}" srcOrd="0" destOrd="0" presId="urn:microsoft.com/office/officeart/2005/8/layout/radial5"/>
    <dgm:cxn modelId="{4A58D04C-6D9B-46FF-AF6F-AB65CFB24DC9}" type="presParOf" srcId="{B9265AE2-97C1-410F-9974-54CDDBB25CAF}" destId="{2D5773EE-77B2-45E8-B935-8B43A16165F8}" srcOrd="6" destOrd="0" presId="urn:microsoft.com/office/officeart/2005/8/layout/radial5"/>
    <dgm:cxn modelId="{CE8A5DE4-282A-4B7A-8FF5-94C8ABD51901}" type="presParOf" srcId="{B9265AE2-97C1-410F-9974-54CDDBB25CAF}" destId="{020B684B-FD29-4E94-8A9D-35789E5A15AC}" srcOrd="7" destOrd="0" presId="urn:microsoft.com/office/officeart/2005/8/layout/radial5"/>
    <dgm:cxn modelId="{26097ACD-720E-44DD-9BE1-E3BB3BD29B7C}" type="presParOf" srcId="{020B684B-FD29-4E94-8A9D-35789E5A15AC}" destId="{242898B6-9FAB-408D-BDC3-6D6BFEAE6C86}" srcOrd="0" destOrd="0" presId="urn:microsoft.com/office/officeart/2005/8/layout/radial5"/>
    <dgm:cxn modelId="{D01E6946-A564-4ADD-BEFE-6D915075FA5A}" type="presParOf" srcId="{B9265AE2-97C1-410F-9974-54CDDBB25CAF}" destId="{1A77D932-5510-4312-B114-8C7743FE2FD8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0E69E09-5EA4-4DFB-B449-645DE9700181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DF63C5E7-B371-49FD-A9F2-52B772315757}">
      <dgm:prSet phldrT="[Texto]"/>
      <dgm:spPr>
        <a:xfrm>
          <a:off x="2266586" y="1574525"/>
          <a:ext cx="963859" cy="963859"/>
        </a:xfr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7030A0"/>
          </a:solidFill>
          <a:prstDash val="solid"/>
        </a:ln>
        <a:effectLst/>
      </dgm:spPr>
      <dgm:t>
        <a:bodyPr/>
        <a:lstStyle/>
        <a:p>
          <a:pPr algn="ctr"/>
          <a:r>
            <a:rPr lang="es-MX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Personas con discapacidad</a:t>
          </a:r>
        </a:p>
      </dgm:t>
    </dgm:pt>
    <dgm:pt modelId="{FC98F82E-4892-453E-8C38-1B6B0A94C95F}" type="parTrans" cxnId="{9605DB7F-A72D-491A-83DF-056D0C68618D}">
      <dgm:prSet/>
      <dgm:spPr/>
      <dgm:t>
        <a:bodyPr/>
        <a:lstStyle/>
        <a:p>
          <a:pPr algn="ctr"/>
          <a:endParaRPr lang="es-MX"/>
        </a:p>
      </dgm:t>
    </dgm:pt>
    <dgm:pt modelId="{7E0A2AA7-0A7E-4749-9F02-38D530E3B041}" type="sibTrans" cxnId="{9605DB7F-A72D-491A-83DF-056D0C68618D}">
      <dgm:prSet/>
      <dgm:spPr/>
      <dgm:t>
        <a:bodyPr/>
        <a:lstStyle/>
        <a:p>
          <a:pPr algn="ctr"/>
          <a:endParaRPr lang="es-MX"/>
        </a:p>
      </dgm:t>
    </dgm:pt>
    <dgm:pt modelId="{9813442A-B541-4939-BE6E-580357104E90}">
      <dgm:prSet phldrT="[Texto]"/>
      <dgm:spPr>
        <a:xfrm>
          <a:off x="2099187" y="68683"/>
          <a:ext cx="1292694" cy="1214523"/>
        </a:xfrm>
        <a:solidFill>
          <a:srgbClr val="1F497D">
            <a:lumMod val="40000"/>
            <a:lumOff val="60000"/>
          </a:srgbClr>
        </a:solidFill>
        <a:ln w="25400" cap="flat" cmpd="sng" algn="ctr">
          <a:solidFill>
            <a:srgbClr val="7030A0"/>
          </a:solidFill>
          <a:prstDash val="solid"/>
        </a:ln>
        <a:effectLst/>
      </dgm:spPr>
      <dgm:t>
        <a:bodyPr/>
        <a:lstStyle/>
        <a:p>
          <a:pPr algn="ctr"/>
          <a:r>
            <a:rPr lang="es-MX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Características</a:t>
          </a:r>
          <a:r>
            <a:rPr lang="es-MX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es-MX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del entorno</a:t>
          </a:r>
        </a:p>
      </dgm:t>
    </dgm:pt>
    <dgm:pt modelId="{432B1D53-698F-4232-9128-87E6D988CD9F}" type="parTrans" cxnId="{45CDC5F0-D4FA-422A-A884-FFA709823402}">
      <dgm:prSet/>
      <dgm:spPr>
        <a:xfrm rot="16192575">
          <a:off x="2669970" y="1269379"/>
          <a:ext cx="154400" cy="32771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s-MX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F67B308-A20E-47B4-94FB-DF5FF1E78B1F}" type="sibTrans" cxnId="{45CDC5F0-D4FA-422A-A884-FFA709823402}">
      <dgm:prSet/>
      <dgm:spPr/>
      <dgm:t>
        <a:bodyPr/>
        <a:lstStyle/>
        <a:p>
          <a:pPr algn="ctr"/>
          <a:endParaRPr lang="es-MX"/>
        </a:p>
      </dgm:t>
    </dgm:pt>
    <dgm:pt modelId="{CB1B258D-661F-45D6-A79F-A6FB5060DA92}">
      <dgm:prSet phldrT="[Texto]"/>
      <dgm:spPr>
        <a:xfrm>
          <a:off x="3650478" y="1463309"/>
          <a:ext cx="1197294" cy="1186291"/>
        </a:xfrm>
        <a:solidFill>
          <a:srgbClr val="0070C0"/>
        </a:solidFill>
        <a:ln w="25400" cap="flat" cmpd="sng" algn="ctr">
          <a:solidFill>
            <a:srgbClr val="7030A0"/>
          </a:solidFill>
          <a:prstDash val="solid"/>
        </a:ln>
        <a:effectLst/>
      </dgm:spPr>
      <dgm:t>
        <a:bodyPr/>
        <a:lstStyle/>
        <a:p>
          <a:pPr algn="ctr"/>
          <a:r>
            <a:rPr lang="es-MX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Características físicas y sociales</a:t>
          </a:r>
        </a:p>
      </dgm:t>
    </dgm:pt>
    <dgm:pt modelId="{010F7A8E-C31B-4D98-B8B2-85C4E6F9B3E5}" type="parTrans" cxnId="{21B1B361-D714-4ACB-A0A3-D9E0206D2F87}">
      <dgm:prSet/>
      <dgm:spPr>
        <a:xfrm>
          <a:off x="3322853" y="1892599"/>
          <a:ext cx="222616" cy="32771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s-MX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51D9AE4-B007-4CEA-8AB2-012A7B2CB261}" type="sibTrans" cxnId="{21B1B361-D714-4ACB-A0A3-D9E0206D2F87}">
      <dgm:prSet/>
      <dgm:spPr/>
      <dgm:t>
        <a:bodyPr/>
        <a:lstStyle/>
        <a:p>
          <a:pPr algn="ctr"/>
          <a:endParaRPr lang="es-MX"/>
        </a:p>
      </dgm:t>
    </dgm:pt>
    <dgm:pt modelId="{B395884C-6490-4BC5-B160-3535691B4679}">
      <dgm:prSet phldrT="[Texto]"/>
      <dgm:spPr>
        <a:xfrm>
          <a:off x="680801" y="1475917"/>
          <a:ext cx="1197294" cy="116107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7030A0"/>
          </a:solidFill>
          <a:prstDash val="solid"/>
        </a:ln>
        <a:effectLst/>
      </dgm:spPr>
      <dgm:t>
        <a:bodyPr/>
        <a:lstStyle/>
        <a:p>
          <a:pPr algn="ctr"/>
          <a:r>
            <a:rPr lang="es-MX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Condición de salud</a:t>
          </a:r>
        </a:p>
      </dgm:t>
    </dgm:pt>
    <dgm:pt modelId="{B1980462-6C3F-49A8-AEAA-FBF249056FEF}" type="parTrans" cxnId="{2DDEF42A-F86B-4470-82DA-231DA2681CE4}">
      <dgm:prSet/>
      <dgm:spPr>
        <a:xfrm rot="10800000">
          <a:off x="1975218" y="1892599"/>
          <a:ext cx="205900" cy="32771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s-MX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F69635F-FB7B-450B-A205-2CC4F95822C0}" type="sibTrans" cxnId="{2DDEF42A-F86B-4470-82DA-231DA2681CE4}">
      <dgm:prSet/>
      <dgm:spPr/>
      <dgm:t>
        <a:bodyPr/>
        <a:lstStyle/>
        <a:p>
          <a:pPr algn="ctr"/>
          <a:endParaRPr lang="es-MX"/>
        </a:p>
      </dgm:t>
    </dgm:pt>
    <dgm:pt modelId="{F2D553AF-9B8E-4E54-AC20-EE921789E83A}">
      <dgm:prSet phldrT="[Texto]"/>
      <dgm:spPr>
        <a:xfrm>
          <a:off x="2111006" y="2807888"/>
          <a:ext cx="1304176" cy="1282098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rgbClr val="7030A0"/>
          </a:solidFill>
          <a:prstDash val="solid"/>
        </a:ln>
        <a:effectLst/>
      </dgm:spPr>
      <dgm:t>
        <a:bodyPr/>
        <a:lstStyle/>
        <a:p>
          <a:pPr algn="ctr"/>
          <a:r>
            <a:rPr lang="es-MX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Factores personales </a:t>
          </a:r>
        </a:p>
      </dgm:t>
    </dgm:pt>
    <dgm:pt modelId="{8B2531E4-C778-479D-8C8B-7BD352626D05}" type="parTrans" cxnId="{84C22272-5AC6-4EF0-8FA0-5B15B55525A8}">
      <dgm:prSet/>
      <dgm:spPr>
        <a:xfrm rot="5364009">
          <a:off x="2683492" y="2505240"/>
          <a:ext cx="142876" cy="32771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s-MX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512AA0F-0423-4153-B908-FBABBB71E1B1}" type="sibTrans" cxnId="{84C22272-5AC6-4EF0-8FA0-5B15B55525A8}">
      <dgm:prSet/>
      <dgm:spPr/>
      <dgm:t>
        <a:bodyPr/>
        <a:lstStyle/>
        <a:p>
          <a:pPr algn="ctr"/>
          <a:endParaRPr lang="es-MX"/>
        </a:p>
      </dgm:t>
    </dgm:pt>
    <dgm:pt modelId="{B9265AE2-97C1-410F-9974-54CDDBB25CAF}" type="pres">
      <dgm:prSet presAssocID="{60E69E09-5EA4-4DFB-B449-645DE970018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7D3E56F2-6D7B-46B2-B32C-C4A9F666F394}" type="pres">
      <dgm:prSet presAssocID="{DF63C5E7-B371-49FD-A9F2-52B772315757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es-MX"/>
        </a:p>
      </dgm:t>
    </dgm:pt>
    <dgm:pt modelId="{9D54E23D-3EA4-4321-A6EF-EC434E8531F7}" type="pres">
      <dgm:prSet presAssocID="{432B1D53-698F-4232-9128-87E6D988CD9F}" presName="parTrans" presStyleLbl="sibTrans2D1" presStyleIdx="0" presStyleCnt="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3308620F-4BFC-42CF-ABF9-038F3B0A5ED4}" type="pres">
      <dgm:prSet presAssocID="{432B1D53-698F-4232-9128-87E6D988CD9F}" presName="connectorText" presStyleLbl="sibTrans2D1" presStyleIdx="0" presStyleCnt="4"/>
      <dgm:spPr/>
      <dgm:t>
        <a:bodyPr/>
        <a:lstStyle/>
        <a:p>
          <a:endParaRPr lang="es-MX"/>
        </a:p>
      </dgm:t>
    </dgm:pt>
    <dgm:pt modelId="{2B4B889E-3594-465D-AF4E-3A8AE1DB4C92}" type="pres">
      <dgm:prSet presAssocID="{9813442A-B541-4939-BE6E-580357104E90}" presName="node" presStyleLbl="node1" presStyleIdx="0" presStyleCnt="4" custScaleX="107968" custScaleY="101439" custRadScaleRad="93972" custRadScaleInc="-27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MX"/>
        </a:p>
      </dgm:t>
    </dgm:pt>
    <dgm:pt modelId="{319AB3D7-3CDD-4B39-A03B-63C1DCB62922}" type="pres">
      <dgm:prSet presAssocID="{010F7A8E-C31B-4D98-B8B2-85C4E6F9B3E5}" presName="parTrans" presStyleLbl="sibTrans2D1" presStyleIdx="1" presStyleCnt="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1539BB0D-DC1E-4F3D-B229-4B5F894713B1}" type="pres">
      <dgm:prSet presAssocID="{010F7A8E-C31B-4D98-B8B2-85C4E6F9B3E5}" presName="connectorText" presStyleLbl="sibTrans2D1" presStyleIdx="1" presStyleCnt="4"/>
      <dgm:spPr/>
      <dgm:t>
        <a:bodyPr/>
        <a:lstStyle/>
        <a:p>
          <a:endParaRPr lang="es-MX"/>
        </a:p>
      </dgm:t>
    </dgm:pt>
    <dgm:pt modelId="{AA0359E9-C22E-4F75-B158-F4AE4881B188}" type="pres">
      <dgm:prSet presAssocID="{CB1B258D-661F-45D6-A79F-A6FB5060DA92}" presName="node" presStyleLbl="node1" presStyleIdx="1" presStyleCnt="4" custScaleY="99081" custRadScaleRad="10214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MX"/>
        </a:p>
      </dgm:t>
    </dgm:pt>
    <dgm:pt modelId="{030A5F38-C149-49C1-93FF-25AC0BF28F5D}" type="pres">
      <dgm:prSet presAssocID="{8B2531E4-C778-479D-8C8B-7BD352626D05}" presName="parTrans" presStyleLbl="sibTrans2D1" presStyleIdx="2" presStyleCnt="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B3A94A5F-BE64-4987-AD53-F138B1A6C0E8}" type="pres">
      <dgm:prSet presAssocID="{8B2531E4-C778-479D-8C8B-7BD352626D05}" presName="connectorText" presStyleLbl="sibTrans2D1" presStyleIdx="2" presStyleCnt="4"/>
      <dgm:spPr/>
      <dgm:t>
        <a:bodyPr/>
        <a:lstStyle/>
        <a:p>
          <a:endParaRPr lang="es-MX"/>
        </a:p>
      </dgm:t>
    </dgm:pt>
    <dgm:pt modelId="{2D5773EE-77B2-45E8-B935-8B43A16165F8}" type="pres">
      <dgm:prSet presAssocID="{F2D553AF-9B8E-4E54-AC20-EE921789E83A}" presName="node" presStyleLbl="node1" presStyleIdx="2" presStyleCnt="4" custScaleX="108927" custScaleY="107083" custRadScaleRad="94792" custRadScaleInc="-133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MX"/>
        </a:p>
      </dgm:t>
    </dgm:pt>
    <dgm:pt modelId="{020B684B-FD29-4E94-8A9D-35789E5A15AC}" type="pres">
      <dgm:prSet presAssocID="{B1980462-6C3F-49A8-AEAA-FBF249056FEF}" presName="parTrans" presStyleLbl="sibTrans2D1" presStyleIdx="3" presStyleCnt="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242898B6-9FAB-408D-BDC3-6D6BFEAE6C86}" type="pres">
      <dgm:prSet presAssocID="{B1980462-6C3F-49A8-AEAA-FBF249056FEF}" presName="connectorText" presStyleLbl="sibTrans2D1" presStyleIdx="3" presStyleCnt="4"/>
      <dgm:spPr/>
      <dgm:t>
        <a:bodyPr/>
        <a:lstStyle/>
        <a:p>
          <a:endParaRPr lang="es-MX"/>
        </a:p>
      </dgm:t>
    </dgm:pt>
    <dgm:pt modelId="{1A77D932-5510-4312-B114-8C7743FE2FD8}" type="pres">
      <dgm:prSet presAssocID="{B395884C-6490-4BC5-B160-3535691B4679}" presName="node" presStyleLbl="node1" presStyleIdx="3" presStyleCnt="4" custScaleY="9697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MX"/>
        </a:p>
      </dgm:t>
    </dgm:pt>
  </dgm:ptLst>
  <dgm:cxnLst>
    <dgm:cxn modelId="{CBBF9AB7-4BDF-4F67-A634-11ACC49D3E17}" type="presOf" srcId="{CB1B258D-661F-45D6-A79F-A6FB5060DA92}" destId="{AA0359E9-C22E-4F75-B158-F4AE4881B188}" srcOrd="0" destOrd="0" presId="urn:microsoft.com/office/officeart/2005/8/layout/radial5"/>
    <dgm:cxn modelId="{8BBE425D-4FB3-47CD-A214-6FF11FE825D8}" type="presOf" srcId="{B395884C-6490-4BC5-B160-3535691B4679}" destId="{1A77D932-5510-4312-B114-8C7743FE2FD8}" srcOrd="0" destOrd="0" presId="urn:microsoft.com/office/officeart/2005/8/layout/radial5"/>
    <dgm:cxn modelId="{21B1B361-D714-4ACB-A0A3-D9E0206D2F87}" srcId="{DF63C5E7-B371-49FD-A9F2-52B772315757}" destId="{CB1B258D-661F-45D6-A79F-A6FB5060DA92}" srcOrd="1" destOrd="0" parTransId="{010F7A8E-C31B-4D98-B8B2-85C4E6F9B3E5}" sibTransId="{351D9AE4-B007-4CEA-8AB2-012A7B2CB261}"/>
    <dgm:cxn modelId="{9AFF9DE0-E284-42FC-8EB5-9E13639F9050}" type="presOf" srcId="{60E69E09-5EA4-4DFB-B449-645DE9700181}" destId="{B9265AE2-97C1-410F-9974-54CDDBB25CAF}" srcOrd="0" destOrd="0" presId="urn:microsoft.com/office/officeart/2005/8/layout/radial5"/>
    <dgm:cxn modelId="{FDC19C1D-5766-49CC-A2AE-FD6115A6CE8C}" type="presOf" srcId="{8B2531E4-C778-479D-8C8B-7BD352626D05}" destId="{B3A94A5F-BE64-4987-AD53-F138B1A6C0E8}" srcOrd="1" destOrd="0" presId="urn:microsoft.com/office/officeart/2005/8/layout/radial5"/>
    <dgm:cxn modelId="{647796DD-D94D-4D15-BE02-DA7001B569EE}" type="presOf" srcId="{B1980462-6C3F-49A8-AEAA-FBF249056FEF}" destId="{242898B6-9FAB-408D-BDC3-6D6BFEAE6C86}" srcOrd="1" destOrd="0" presId="urn:microsoft.com/office/officeart/2005/8/layout/radial5"/>
    <dgm:cxn modelId="{20C02EF8-623A-470A-9D94-D3C410EFA96E}" type="presOf" srcId="{8B2531E4-C778-479D-8C8B-7BD352626D05}" destId="{030A5F38-C149-49C1-93FF-25AC0BF28F5D}" srcOrd="0" destOrd="0" presId="urn:microsoft.com/office/officeart/2005/8/layout/radial5"/>
    <dgm:cxn modelId="{E8459D1C-DFDD-48DB-B21B-9E35FFEEB257}" type="presOf" srcId="{432B1D53-698F-4232-9128-87E6D988CD9F}" destId="{9D54E23D-3EA4-4321-A6EF-EC434E8531F7}" srcOrd="0" destOrd="0" presId="urn:microsoft.com/office/officeart/2005/8/layout/radial5"/>
    <dgm:cxn modelId="{84C22272-5AC6-4EF0-8FA0-5B15B55525A8}" srcId="{DF63C5E7-B371-49FD-A9F2-52B772315757}" destId="{F2D553AF-9B8E-4E54-AC20-EE921789E83A}" srcOrd="2" destOrd="0" parTransId="{8B2531E4-C778-479D-8C8B-7BD352626D05}" sibTransId="{C512AA0F-0423-4153-B908-FBABBB71E1B1}"/>
    <dgm:cxn modelId="{45CDC5F0-D4FA-422A-A884-FFA709823402}" srcId="{DF63C5E7-B371-49FD-A9F2-52B772315757}" destId="{9813442A-B541-4939-BE6E-580357104E90}" srcOrd="0" destOrd="0" parTransId="{432B1D53-698F-4232-9128-87E6D988CD9F}" sibTransId="{AF67B308-A20E-47B4-94FB-DF5FF1E78B1F}"/>
    <dgm:cxn modelId="{66CCE15B-D0E2-4156-98A8-9E259131CEB8}" type="presOf" srcId="{DF63C5E7-B371-49FD-A9F2-52B772315757}" destId="{7D3E56F2-6D7B-46B2-B32C-C4A9F666F394}" srcOrd="0" destOrd="0" presId="urn:microsoft.com/office/officeart/2005/8/layout/radial5"/>
    <dgm:cxn modelId="{C7B4B8C6-7025-498C-B62F-1BD688F70ECC}" type="presOf" srcId="{B1980462-6C3F-49A8-AEAA-FBF249056FEF}" destId="{020B684B-FD29-4E94-8A9D-35789E5A15AC}" srcOrd="0" destOrd="0" presId="urn:microsoft.com/office/officeart/2005/8/layout/radial5"/>
    <dgm:cxn modelId="{3E77A517-25E7-4FCE-B2D3-F70D27BC4E73}" type="presOf" srcId="{010F7A8E-C31B-4D98-B8B2-85C4E6F9B3E5}" destId="{1539BB0D-DC1E-4F3D-B229-4B5F894713B1}" srcOrd="1" destOrd="0" presId="urn:microsoft.com/office/officeart/2005/8/layout/radial5"/>
    <dgm:cxn modelId="{97FA0F69-D376-4D29-8415-49D9776628E6}" type="presOf" srcId="{F2D553AF-9B8E-4E54-AC20-EE921789E83A}" destId="{2D5773EE-77B2-45E8-B935-8B43A16165F8}" srcOrd="0" destOrd="0" presId="urn:microsoft.com/office/officeart/2005/8/layout/radial5"/>
    <dgm:cxn modelId="{9605DB7F-A72D-491A-83DF-056D0C68618D}" srcId="{60E69E09-5EA4-4DFB-B449-645DE9700181}" destId="{DF63C5E7-B371-49FD-A9F2-52B772315757}" srcOrd="0" destOrd="0" parTransId="{FC98F82E-4892-453E-8C38-1B6B0A94C95F}" sibTransId="{7E0A2AA7-0A7E-4749-9F02-38D530E3B041}"/>
    <dgm:cxn modelId="{2DDEF42A-F86B-4470-82DA-231DA2681CE4}" srcId="{DF63C5E7-B371-49FD-A9F2-52B772315757}" destId="{B395884C-6490-4BC5-B160-3535691B4679}" srcOrd="3" destOrd="0" parTransId="{B1980462-6C3F-49A8-AEAA-FBF249056FEF}" sibTransId="{6F69635F-FB7B-450B-A205-2CC4F95822C0}"/>
    <dgm:cxn modelId="{2EEB49FA-47A6-42FF-9654-A379921635F0}" type="presOf" srcId="{432B1D53-698F-4232-9128-87E6D988CD9F}" destId="{3308620F-4BFC-42CF-ABF9-038F3B0A5ED4}" srcOrd="1" destOrd="0" presId="urn:microsoft.com/office/officeart/2005/8/layout/radial5"/>
    <dgm:cxn modelId="{1408305E-C244-4F79-8EA9-08237F6B18EF}" type="presOf" srcId="{010F7A8E-C31B-4D98-B8B2-85C4E6F9B3E5}" destId="{319AB3D7-3CDD-4B39-A03B-63C1DCB62922}" srcOrd="0" destOrd="0" presId="urn:microsoft.com/office/officeart/2005/8/layout/radial5"/>
    <dgm:cxn modelId="{A96B98F4-F3CB-4520-BFA2-599E7949A95F}" type="presOf" srcId="{9813442A-B541-4939-BE6E-580357104E90}" destId="{2B4B889E-3594-465D-AF4E-3A8AE1DB4C92}" srcOrd="0" destOrd="0" presId="urn:microsoft.com/office/officeart/2005/8/layout/radial5"/>
    <dgm:cxn modelId="{D639C84B-7B74-46FC-BD20-B27C3D57AF80}" type="presParOf" srcId="{B9265AE2-97C1-410F-9974-54CDDBB25CAF}" destId="{7D3E56F2-6D7B-46B2-B32C-C4A9F666F394}" srcOrd="0" destOrd="0" presId="urn:microsoft.com/office/officeart/2005/8/layout/radial5"/>
    <dgm:cxn modelId="{C8C3D4D7-473C-4FF7-91CB-3BED24466E7D}" type="presParOf" srcId="{B9265AE2-97C1-410F-9974-54CDDBB25CAF}" destId="{9D54E23D-3EA4-4321-A6EF-EC434E8531F7}" srcOrd="1" destOrd="0" presId="urn:microsoft.com/office/officeart/2005/8/layout/radial5"/>
    <dgm:cxn modelId="{5635CFF4-433E-403E-A0B2-E223C3503C2E}" type="presParOf" srcId="{9D54E23D-3EA4-4321-A6EF-EC434E8531F7}" destId="{3308620F-4BFC-42CF-ABF9-038F3B0A5ED4}" srcOrd="0" destOrd="0" presId="urn:microsoft.com/office/officeart/2005/8/layout/radial5"/>
    <dgm:cxn modelId="{4B3CE993-B3D0-43E1-9B65-D4EBA1610042}" type="presParOf" srcId="{B9265AE2-97C1-410F-9974-54CDDBB25CAF}" destId="{2B4B889E-3594-465D-AF4E-3A8AE1DB4C92}" srcOrd="2" destOrd="0" presId="urn:microsoft.com/office/officeart/2005/8/layout/radial5"/>
    <dgm:cxn modelId="{41479ADA-571E-4D9F-B1F9-3597AB38FDF6}" type="presParOf" srcId="{B9265AE2-97C1-410F-9974-54CDDBB25CAF}" destId="{319AB3D7-3CDD-4B39-A03B-63C1DCB62922}" srcOrd="3" destOrd="0" presId="urn:microsoft.com/office/officeart/2005/8/layout/radial5"/>
    <dgm:cxn modelId="{3980877C-EB66-4B32-9CE3-6E0AEE30F040}" type="presParOf" srcId="{319AB3D7-3CDD-4B39-A03B-63C1DCB62922}" destId="{1539BB0D-DC1E-4F3D-B229-4B5F894713B1}" srcOrd="0" destOrd="0" presId="urn:microsoft.com/office/officeart/2005/8/layout/radial5"/>
    <dgm:cxn modelId="{FA42BE2B-DC89-4CBB-B48A-070F74C42ED2}" type="presParOf" srcId="{B9265AE2-97C1-410F-9974-54CDDBB25CAF}" destId="{AA0359E9-C22E-4F75-B158-F4AE4881B188}" srcOrd="4" destOrd="0" presId="urn:microsoft.com/office/officeart/2005/8/layout/radial5"/>
    <dgm:cxn modelId="{4D2B85DD-3143-49DE-9DAE-5E346F89845B}" type="presParOf" srcId="{B9265AE2-97C1-410F-9974-54CDDBB25CAF}" destId="{030A5F38-C149-49C1-93FF-25AC0BF28F5D}" srcOrd="5" destOrd="0" presId="urn:microsoft.com/office/officeart/2005/8/layout/radial5"/>
    <dgm:cxn modelId="{029B20F8-84FF-4329-B533-3F2FFE3896F4}" type="presParOf" srcId="{030A5F38-C149-49C1-93FF-25AC0BF28F5D}" destId="{B3A94A5F-BE64-4987-AD53-F138B1A6C0E8}" srcOrd="0" destOrd="0" presId="urn:microsoft.com/office/officeart/2005/8/layout/radial5"/>
    <dgm:cxn modelId="{4A58D04C-6D9B-46FF-AF6F-AB65CFB24DC9}" type="presParOf" srcId="{B9265AE2-97C1-410F-9974-54CDDBB25CAF}" destId="{2D5773EE-77B2-45E8-B935-8B43A16165F8}" srcOrd="6" destOrd="0" presId="urn:microsoft.com/office/officeart/2005/8/layout/radial5"/>
    <dgm:cxn modelId="{CE8A5DE4-282A-4B7A-8FF5-94C8ABD51901}" type="presParOf" srcId="{B9265AE2-97C1-410F-9974-54CDDBB25CAF}" destId="{020B684B-FD29-4E94-8A9D-35789E5A15AC}" srcOrd="7" destOrd="0" presId="urn:microsoft.com/office/officeart/2005/8/layout/radial5"/>
    <dgm:cxn modelId="{26097ACD-720E-44DD-9BE1-E3BB3BD29B7C}" type="presParOf" srcId="{020B684B-FD29-4E94-8A9D-35789E5A15AC}" destId="{242898B6-9FAB-408D-BDC3-6D6BFEAE6C86}" srcOrd="0" destOrd="0" presId="urn:microsoft.com/office/officeart/2005/8/layout/radial5"/>
    <dgm:cxn modelId="{D01E6946-A564-4ADD-BEFE-6D915075FA5A}" type="presParOf" srcId="{B9265AE2-97C1-410F-9974-54CDDBB25CAF}" destId="{1A77D932-5510-4312-B114-8C7743FE2FD8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14F5DFE-7631-4D20-8840-C8F66E198466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142B1D9B-48F3-4EA4-859C-A89238DA903E}">
      <dgm:prSet phldrT="[Texto]" custT="1"/>
      <dgm:spPr>
        <a:xfrm>
          <a:off x="1899643" y="34236"/>
          <a:ext cx="2209531" cy="1780315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 sz="10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A7E11D7-0549-4E59-8E4B-6D52E52A6EE9}" type="parTrans" cxnId="{D21E075F-6B12-4ACB-8D8E-83D986B7EAB0}">
      <dgm:prSet/>
      <dgm:spPr/>
      <dgm:t>
        <a:bodyPr/>
        <a:lstStyle/>
        <a:p>
          <a:endParaRPr lang="es-MX"/>
        </a:p>
      </dgm:t>
    </dgm:pt>
    <dgm:pt modelId="{A405C259-BC3C-4A22-9FBE-EBBC6B46C2F5}" type="sibTrans" cxnId="{D21E075F-6B12-4ACB-8D8E-83D986B7EAB0}">
      <dgm:prSet/>
      <dgm:spPr/>
      <dgm:t>
        <a:bodyPr/>
        <a:lstStyle/>
        <a:p>
          <a:endParaRPr lang="es-MX"/>
        </a:p>
      </dgm:t>
    </dgm:pt>
    <dgm:pt modelId="{D969A1C4-3D73-41E3-96EA-BD5A93E6DD6D}">
      <dgm:prSet phldrT="[Texto]" custT="1"/>
      <dgm:spPr>
        <a:xfrm>
          <a:off x="2716813" y="821684"/>
          <a:ext cx="2150087" cy="1780315"/>
        </a:xfrm>
        <a:solidFill>
          <a:srgbClr val="7030A0">
            <a:alpha val="5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 sz="10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2D5A683-6ABF-4BB7-83C7-7609F47EE2FA}" type="parTrans" cxnId="{C2D8451F-6D56-4B74-AEE3-7A65C733233D}">
      <dgm:prSet/>
      <dgm:spPr/>
      <dgm:t>
        <a:bodyPr/>
        <a:lstStyle/>
        <a:p>
          <a:endParaRPr lang="es-MX"/>
        </a:p>
      </dgm:t>
    </dgm:pt>
    <dgm:pt modelId="{C4E11A1A-9CCF-4448-84CE-0120A87FC878}" type="sibTrans" cxnId="{C2D8451F-6D56-4B74-AEE3-7A65C733233D}">
      <dgm:prSet/>
      <dgm:spPr/>
      <dgm:t>
        <a:bodyPr/>
        <a:lstStyle/>
        <a:p>
          <a:endParaRPr lang="es-MX"/>
        </a:p>
      </dgm:t>
    </dgm:pt>
    <dgm:pt modelId="{BF596E10-F27A-4A0F-92E1-AC4A91362916}">
      <dgm:prSet phldrT="[Texto]" custT="1"/>
      <dgm:spPr>
        <a:xfrm>
          <a:off x="1161760" y="821684"/>
          <a:ext cx="2110404" cy="1780315"/>
        </a:xfrm>
        <a:solidFill>
          <a:srgbClr val="00B0F0">
            <a:alpha val="5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s-MX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        </a:t>
          </a:r>
        </a:p>
      </dgm:t>
    </dgm:pt>
    <dgm:pt modelId="{0DAC4FF2-465C-4E4B-9CC2-2115BDC4DFB8}" type="parTrans" cxnId="{A7B8878C-4DA6-4812-8C62-505C8DD09606}">
      <dgm:prSet/>
      <dgm:spPr/>
      <dgm:t>
        <a:bodyPr/>
        <a:lstStyle/>
        <a:p>
          <a:endParaRPr lang="es-MX"/>
        </a:p>
      </dgm:t>
    </dgm:pt>
    <dgm:pt modelId="{61E0FB1D-E5EC-46F4-897B-2D4F71F644DB}" type="sibTrans" cxnId="{A7B8878C-4DA6-4812-8C62-505C8DD09606}">
      <dgm:prSet/>
      <dgm:spPr/>
      <dgm:t>
        <a:bodyPr/>
        <a:lstStyle/>
        <a:p>
          <a:endParaRPr lang="es-MX"/>
        </a:p>
      </dgm:t>
    </dgm:pt>
    <dgm:pt modelId="{5329CD09-E170-44D9-9242-ADDA5E0486A8}">
      <dgm:prSet phldrT="[Texto]" custT="1"/>
      <dgm:spPr>
        <a:xfrm>
          <a:off x="1911019" y="1609131"/>
          <a:ext cx="2186779" cy="1780315"/>
        </a:xfrm>
        <a:solidFill>
          <a:schemeClr val="accent2">
            <a:lumMod val="40000"/>
            <a:lumOff val="60000"/>
            <a:alpha val="5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 sz="10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0C5FDF7-C8C0-4272-8EF5-DBF79887248B}" type="sibTrans" cxnId="{84FE953B-AF1D-4389-950B-BC3A8E52B40F}">
      <dgm:prSet/>
      <dgm:spPr/>
      <dgm:t>
        <a:bodyPr/>
        <a:lstStyle/>
        <a:p>
          <a:endParaRPr lang="es-MX"/>
        </a:p>
      </dgm:t>
    </dgm:pt>
    <dgm:pt modelId="{069F3D5D-4EFB-4CAF-815D-ACB66A0D73B8}" type="parTrans" cxnId="{84FE953B-AF1D-4389-950B-BC3A8E52B40F}">
      <dgm:prSet/>
      <dgm:spPr/>
      <dgm:t>
        <a:bodyPr/>
        <a:lstStyle/>
        <a:p>
          <a:endParaRPr lang="es-MX"/>
        </a:p>
      </dgm:t>
    </dgm:pt>
    <dgm:pt modelId="{2C14F4D4-2720-4C9C-8DDC-67812885F9EE}" type="pres">
      <dgm:prSet presAssocID="{C14F5DFE-7631-4D20-8840-C8F66E198466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B4913937-B564-4703-B618-A34BB1586C98}" type="pres">
      <dgm:prSet presAssocID="{142B1D9B-48F3-4EA4-859C-A89238DA903E}" presName="circ1" presStyleLbl="vennNode1" presStyleIdx="0" presStyleCnt="4" custScaleX="141018" custScaleY="128317" custLinFactNeighborX="-26708" custLinFactNeighborY="14612"/>
      <dgm:spPr>
        <a:prstGeom prst="ellipse">
          <a:avLst/>
        </a:prstGeom>
      </dgm:spPr>
      <dgm:t>
        <a:bodyPr/>
        <a:lstStyle/>
        <a:p>
          <a:endParaRPr lang="es-MX"/>
        </a:p>
      </dgm:t>
    </dgm:pt>
    <dgm:pt modelId="{60D2C71C-1839-48A0-9A42-FB4939FEE432}" type="pres">
      <dgm:prSet presAssocID="{142B1D9B-48F3-4EA4-859C-A89238DA903E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BFBF510-11B6-49CE-B07C-CA4D0612CBEE}" type="pres">
      <dgm:prSet presAssocID="{D969A1C4-3D73-41E3-96EA-BD5A93E6DD6D}" presName="circ2" presStyleLbl="vennNode1" presStyleIdx="1" presStyleCnt="4" custScaleX="138243" custScaleY="125716" custLinFactNeighborX="34926" custLinFactNeighborY="-41834"/>
      <dgm:spPr>
        <a:prstGeom prst="ellipse">
          <a:avLst/>
        </a:prstGeom>
      </dgm:spPr>
      <dgm:t>
        <a:bodyPr/>
        <a:lstStyle/>
        <a:p>
          <a:endParaRPr lang="es-MX"/>
        </a:p>
      </dgm:t>
    </dgm:pt>
    <dgm:pt modelId="{83DB0792-3BEB-4D7C-AF38-0400D11E0428}" type="pres">
      <dgm:prSet presAssocID="{D969A1C4-3D73-41E3-96EA-BD5A93E6DD6D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3A4F84C-F037-4BE8-A072-4F2E8F69E66B}" type="pres">
      <dgm:prSet presAssocID="{5329CD09-E170-44D9-9242-ADDA5E0486A8}" presName="circ3" presStyleLbl="vennNode1" presStyleIdx="2" presStyleCnt="4" custScaleX="139272" custScaleY="137993" custLinFactNeighborX="81342" custLinFactNeighborY="-14654"/>
      <dgm:spPr>
        <a:prstGeom prst="ellipse">
          <a:avLst/>
        </a:prstGeom>
      </dgm:spPr>
      <dgm:t>
        <a:bodyPr/>
        <a:lstStyle/>
        <a:p>
          <a:endParaRPr lang="es-MX"/>
        </a:p>
      </dgm:t>
    </dgm:pt>
    <dgm:pt modelId="{5D8295B4-0720-483E-B42E-646F09D7EF87}" type="pres">
      <dgm:prSet presAssocID="{5329CD09-E170-44D9-9242-ADDA5E0486A8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34EB154-3AC4-4C44-87DD-59FA00CC14A0}" type="pres">
      <dgm:prSet presAssocID="{BF596E10-F27A-4A0F-92E1-AC4A91362916}" presName="circ4" presStyleLbl="vennNode1" presStyleIdx="3" presStyleCnt="4" custScaleX="141471" custScaleY="135988" custLinFactNeighborX="18450" custLinFactNeighborY="36571"/>
      <dgm:spPr>
        <a:prstGeom prst="ellipse">
          <a:avLst/>
        </a:prstGeom>
      </dgm:spPr>
      <dgm:t>
        <a:bodyPr/>
        <a:lstStyle/>
        <a:p>
          <a:endParaRPr lang="es-MX"/>
        </a:p>
      </dgm:t>
    </dgm:pt>
    <dgm:pt modelId="{06DBA519-2558-471B-9870-80C643AA4431}" type="pres">
      <dgm:prSet presAssocID="{BF596E10-F27A-4A0F-92E1-AC4A91362916}" presName="circ4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A7B8878C-4DA6-4812-8C62-505C8DD09606}" srcId="{C14F5DFE-7631-4D20-8840-C8F66E198466}" destId="{BF596E10-F27A-4A0F-92E1-AC4A91362916}" srcOrd="3" destOrd="0" parTransId="{0DAC4FF2-465C-4E4B-9CC2-2115BDC4DFB8}" sibTransId="{61E0FB1D-E5EC-46F4-897B-2D4F71F644DB}"/>
    <dgm:cxn modelId="{FD85182E-044C-49BB-B075-F672D0643048}" type="presOf" srcId="{BF596E10-F27A-4A0F-92E1-AC4A91362916}" destId="{06DBA519-2558-471B-9870-80C643AA4431}" srcOrd="1" destOrd="0" presId="urn:microsoft.com/office/officeart/2005/8/layout/venn1"/>
    <dgm:cxn modelId="{8D698786-15CF-48DB-ABE0-BBA936456E6C}" type="presOf" srcId="{5329CD09-E170-44D9-9242-ADDA5E0486A8}" destId="{23A4F84C-F037-4BE8-A072-4F2E8F69E66B}" srcOrd="0" destOrd="0" presId="urn:microsoft.com/office/officeart/2005/8/layout/venn1"/>
    <dgm:cxn modelId="{C2D8451F-6D56-4B74-AEE3-7A65C733233D}" srcId="{C14F5DFE-7631-4D20-8840-C8F66E198466}" destId="{D969A1C4-3D73-41E3-96EA-BD5A93E6DD6D}" srcOrd="1" destOrd="0" parTransId="{E2D5A683-6ABF-4BB7-83C7-7609F47EE2FA}" sibTransId="{C4E11A1A-9CCF-4448-84CE-0120A87FC878}"/>
    <dgm:cxn modelId="{84FE953B-AF1D-4389-950B-BC3A8E52B40F}" srcId="{C14F5DFE-7631-4D20-8840-C8F66E198466}" destId="{5329CD09-E170-44D9-9242-ADDA5E0486A8}" srcOrd="2" destOrd="0" parTransId="{069F3D5D-4EFB-4CAF-815D-ACB66A0D73B8}" sibTransId="{30C5FDF7-C8C0-4272-8EF5-DBF79887248B}"/>
    <dgm:cxn modelId="{409BE8A7-F398-4517-BC7D-960D39E2F302}" type="presOf" srcId="{D969A1C4-3D73-41E3-96EA-BD5A93E6DD6D}" destId="{83DB0792-3BEB-4D7C-AF38-0400D11E0428}" srcOrd="1" destOrd="0" presId="urn:microsoft.com/office/officeart/2005/8/layout/venn1"/>
    <dgm:cxn modelId="{D21E075F-6B12-4ACB-8D8E-83D986B7EAB0}" srcId="{C14F5DFE-7631-4D20-8840-C8F66E198466}" destId="{142B1D9B-48F3-4EA4-859C-A89238DA903E}" srcOrd="0" destOrd="0" parTransId="{EA7E11D7-0549-4E59-8E4B-6D52E52A6EE9}" sibTransId="{A405C259-BC3C-4A22-9FBE-EBBC6B46C2F5}"/>
    <dgm:cxn modelId="{43C4E541-A1E9-4C2C-8F65-71ED532CA37F}" type="presOf" srcId="{5329CD09-E170-44D9-9242-ADDA5E0486A8}" destId="{5D8295B4-0720-483E-B42E-646F09D7EF87}" srcOrd="1" destOrd="0" presId="urn:microsoft.com/office/officeart/2005/8/layout/venn1"/>
    <dgm:cxn modelId="{A814C4DE-DB15-4ED8-BB7B-AA1ED028A651}" type="presOf" srcId="{C14F5DFE-7631-4D20-8840-C8F66E198466}" destId="{2C14F4D4-2720-4C9C-8DDC-67812885F9EE}" srcOrd="0" destOrd="0" presId="urn:microsoft.com/office/officeart/2005/8/layout/venn1"/>
    <dgm:cxn modelId="{B864ECCA-B33F-4F57-9DEC-DC469E326A52}" type="presOf" srcId="{142B1D9B-48F3-4EA4-859C-A89238DA903E}" destId="{B4913937-B564-4703-B618-A34BB1586C98}" srcOrd="0" destOrd="0" presId="urn:microsoft.com/office/officeart/2005/8/layout/venn1"/>
    <dgm:cxn modelId="{F902FE77-651A-427C-A8A8-43E30875C25A}" type="presOf" srcId="{BF596E10-F27A-4A0F-92E1-AC4A91362916}" destId="{A34EB154-3AC4-4C44-87DD-59FA00CC14A0}" srcOrd="0" destOrd="0" presId="urn:microsoft.com/office/officeart/2005/8/layout/venn1"/>
    <dgm:cxn modelId="{1C3EB044-4626-4D45-B83C-78B2A6F4D99A}" type="presOf" srcId="{142B1D9B-48F3-4EA4-859C-A89238DA903E}" destId="{60D2C71C-1839-48A0-9A42-FB4939FEE432}" srcOrd="1" destOrd="0" presId="urn:microsoft.com/office/officeart/2005/8/layout/venn1"/>
    <dgm:cxn modelId="{360B2096-3EA0-4659-9F6D-87577EE45D0C}" type="presOf" srcId="{D969A1C4-3D73-41E3-96EA-BD5A93E6DD6D}" destId="{6BFBF510-11B6-49CE-B07C-CA4D0612CBEE}" srcOrd="0" destOrd="0" presId="urn:microsoft.com/office/officeart/2005/8/layout/venn1"/>
    <dgm:cxn modelId="{59FE9184-658F-466D-8031-EF099A5856DF}" type="presParOf" srcId="{2C14F4D4-2720-4C9C-8DDC-67812885F9EE}" destId="{B4913937-B564-4703-B618-A34BB1586C98}" srcOrd="0" destOrd="0" presId="urn:microsoft.com/office/officeart/2005/8/layout/venn1"/>
    <dgm:cxn modelId="{E398236B-058E-4F6B-8EFA-A27CBF9ADBB0}" type="presParOf" srcId="{2C14F4D4-2720-4C9C-8DDC-67812885F9EE}" destId="{60D2C71C-1839-48A0-9A42-FB4939FEE432}" srcOrd="1" destOrd="0" presId="urn:microsoft.com/office/officeart/2005/8/layout/venn1"/>
    <dgm:cxn modelId="{75522C41-8CC2-47F3-B074-4330155AC921}" type="presParOf" srcId="{2C14F4D4-2720-4C9C-8DDC-67812885F9EE}" destId="{6BFBF510-11B6-49CE-B07C-CA4D0612CBEE}" srcOrd="2" destOrd="0" presId="urn:microsoft.com/office/officeart/2005/8/layout/venn1"/>
    <dgm:cxn modelId="{8BA4F577-53F1-49F5-92CF-4202DE393408}" type="presParOf" srcId="{2C14F4D4-2720-4C9C-8DDC-67812885F9EE}" destId="{83DB0792-3BEB-4D7C-AF38-0400D11E0428}" srcOrd="3" destOrd="0" presId="urn:microsoft.com/office/officeart/2005/8/layout/venn1"/>
    <dgm:cxn modelId="{30CDD04B-2E92-418B-9377-79B5CE75FA3F}" type="presParOf" srcId="{2C14F4D4-2720-4C9C-8DDC-67812885F9EE}" destId="{23A4F84C-F037-4BE8-A072-4F2E8F69E66B}" srcOrd="4" destOrd="0" presId="urn:microsoft.com/office/officeart/2005/8/layout/venn1"/>
    <dgm:cxn modelId="{31413F34-806A-4299-BA86-803B783A8300}" type="presParOf" srcId="{2C14F4D4-2720-4C9C-8DDC-67812885F9EE}" destId="{5D8295B4-0720-483E-B42E-646F09D7EF87}" srcOrd="5" destOrd="0" presId="urn:microsoft.com/office/officeart/2005/8/layout/venn1"/>
    <dgm:cxn modelId="{ACB4066D-5AD8-4059-A0BB-215D49A00CDA}" type="presParOf" srcId="{2C14F4D4-2720-4C9C-8DDC-67812885F9EE}" destId="{A34EB154-3AC4-4C44-87DD-59FA00CC14A0}" srcOrd="6" destOrd="0" presId="urn:microsoft.com/office/officeart/2005/8/layout/venn1"/>
    <dgm:cxn modelId="{8B857450-C23A-45FE-A016-D084EC028C99}" type="presParOf" srcId="{2C14F4D4-2720-4C9C-8DDC-67812885F9EE}" destId="{06DBA519-2558-471B-9870-80C643AA4431}" srcOrd="7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3E56F2-6D7B-46B2-B32C-C4A9F666F394}">
      <dsp:nvSpPr>
        <dsp:cNvPr id="0" name=""/>
        <dsp:cNvSpPr/>
      </dsp:nvSpPr>
      <dsp:spPr>
        <a:xfrm>
          <a:off x="839744" y="712793"/>
          <a:ext cx="435557" cy="435557"/>
        </a:xfrm>
        <a:prstGeom prst="ellipse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7030A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Personas con discapacidad</a:t>
          </a:r>
        </a:p>
      </dsp:txBody>
      <dsp:txXfrm>
        <a:off x="903530" y="776579"/>
        <a:ext cx="307985" cy="307985"/>
      </dsp:txXfrm>
    </dsp:sp>
    <dsp:sp modelId="{9D54E23D-3EA4-4321-A6EF-EC434E8531F7}">
      <dsp:nvSpPr>
        <dsp:cNvPr id="0" name=""/>
        <dsp:cNvSpPr/>
      </dsp:nvSpPr>
      <dsp:spPr>
        <a:xfrm rot="16192575">
          <a:off x="1022265" y="575332"/>
          <a:ext cx="69300" cy="14808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032682" y="615345"/>
        <a:ext cx="48510" cy="88853"/>
      </dsp:txXfrm>
    </dsp:sp>
    <dsp:sp modelId="{2B4B889E-3594-465D-AF4E-3A8AE1DB4C92}">
      <dsp:nvSpPr>
        <dsp:cNvPr id="0" name=""/>
        <dsp:cNvSpPr/>
      </dsp:nvSpPr>
      <dsp:spPr>
        <a:xfrm>
          <a:off x="762260" y="29757"/>
          <a:ext cx="587827" cy="552281"/>
        </a:xfrm>
        <a:prstGeom prst="ellipse">
          <a:avLst/>
        </a:prstGeom>
        <a:solidFill>
          <a:srgbClr val="1F497D">
            <a:lumMod val="40000"/>
            <a:lumOff val="60000"/>
          </a:srgbClr>
        </a:solidFill>
        <a:ln w="25400" cap="flat" cmpd="sng" algn="ctr">
          <a:solidFill>
            <a:srgbClr val="7030A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Características</a:t>
          </a:r>
          <a:r>
            <a:rPr lang="es-MX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es-MX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del entorno</a:t>
          </a:r>
        </a:p>
      </dsp:txBody>
      <dsp:txXfrm>
        <a:off x="848345" y="110637"/>
        <a:ext cx="415657" cy="390521"/>
      </dsp:txXfrm>
    </dsp:sp>
    <dsp:sp modelId="{319AB3D7-3CDD-4B39-A03B-63C1DCB62922}">
      <dsp:nvSpPr>
        <dsp:cNvPr id="0" name=""/>
        <dsp:cNvSpPr/>
      </dsp:nvSpPr>
      <dsp:spPr>
        <a:xfrm>
          <a:off x="1316885" y="856527"/>
          <a:ext cx="100178" cy="14808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316885" y="886145"/>
        <a:ext cx="70125" cy="88853"/>
      </dsp:txXfrm>
    </dsp:sp>
    <dsp:sp modelId="{AA0359E9-C22E-4F75-B158-F4AE4881B188}">
      <dsp:nvSpPr>
        <dsp:cNvPr id="0" name=""/>
        <dsp:cNvSpPr/>
      </dsp:nvSpPr>
      <dsp:spPr>
        <a:xfrm>
          <a:off x="1464318" y="660850"/>
          <a:ext cx="544446" cy="539442"/>
        </a:xfrm>
        <a:prstGeom prst="ellipse">
          <a:avLst/>
        </a:prstGeom>
        <a:solidFill>
          <a:srgbClr val="0070C0"/>
        </a:solidFill>
        <a:ln w="25400" cap="flat" cmpd="sng" algn="ctr">
          <a:solidFill>
            <a:srgbClr val="7030A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Características físicas y sociales</a:t>
          </a:r>
        </a:p>
      </dsp:txBody>
      <dsp:txXfrm>
        <a:off x="1544050" y="739849"/>
        <a:ext cx="384982" cy="381444"/>
      </dsp:txXfrm>
    </dsp:sp>
    <dsp:sp modelId="{030A5F38-C149-49C1-93FF-25AC0BF28F5D}">
      <dsp:nvSpPr>
        <dsp:cNvPr id="0" name=""/>
        <dsp:cNvSpPr/>
      </dsp:nvSpPr>
      <dsp:spPr>
        <a:xfrm rot="5364009">
          <a:off x="1028393" y="1132899"/>
          <a:ext cx="64046" cy="14808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037899" y="1152911"/>
        <a:ext cx="44832" cy="88853"/>
      </dsp:txXfrm>
    </dsp:sp>
    <dsp:sp modelId="{2D5773EE-77B2-45E8-B935-8B43A16165F8}">
      <dsp:nvSpPr>
        <dsp:cNvPr id="0" name=""/>
        <dsp:cNvSpPr/>
      </dsp:nvSpPr>
      <dsp:spPr>
        <a:xfrm>
          <a:off x="767595" y="1269159"/>
          <a:ext cx="593049" cy="583009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rgbClr val="7030A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Factores personales </a:t>
          </a:r>
        </a:p>
      </dsp:txBody>
      <dsp:txXfrm>
        <a:off x="854445" y="1354539"/>
        <a:ext cx="419349" cy="412249"/>
      </dsp:txXfrm>
    </dsp:sp>
    <dsp:sp modelId="{020B684B-FD29-4E94-8A9D-35789E5A15AC}">
      <dsp:nvSpPr>
        <dsp:cNvPr id="0" name=""/>
        <dsp:cNvSpPr/>
      </dsp:nvSpPr>
      <dsp:spPr>
        <a:xfrm rot="10800000">
          <a:off x="708686" y="856527"/>
          <a:ext cx="92614" cy="14808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736470" y="886145"/>
        <a:ext cx="64830" cy="88853"/>
      </dsp:txXfrm>
    </dsp:sp>
    <dsp:sp modelId="{1A77D932-5510-4312-B114-8C7743FE2FD8}">
      <dsp:nvSpPr>
        <dsp:cNvPr id="0" name=""/>
        <dsp:cNvSpPr/>
      </dsp:nvSpPr>
      <dsp:spPr>
        <a:xfrm>
          <a:off x="120553" y="666583"/>
          <a:ext cx="544446" cy="527976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7030A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Condición de salud</a:t>
          </a:r>
        </a:p>
      </dsp:txBody>
      <dsp:txXfrm>
        <a:off x="200285" y="743903"/>
        <a:ext cx="384982" cy="37333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913937-B564-4703-B618-A34BB1586C98}">
      <dsp:nvSpPr>
        <dsp:cNvPr id="0" name=""/>
        <dsp:cNvSpPr/>
      </dsp:nvSpPr>
      <dsp:spPr>
        <a:xfrm>
          <a:off x="1606400" y="-619"/>
          <a:ext cx="2058215" cy="1872839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843887" y="251493"/>
        <a:ext cx="1583242" cy="594266"/>
      </dsp:txXfrm>
    </dsp:sp>
    <dsp:sp modelId="{6BFBF510-11B6-49CE-B07C-CA4D0612CBEE}">
      <dsp:nvSpPr>
        <dsp:cNvPr id="0" name=""/>
        <dsp:cNvSpPr/>
      </dsp:nvSpPr>
      <dsp:spPr>
        <a:xfrm>
          <a:off x="3171791" y="0"/>
          <a:ext cx="2017713" cy="1834876"/>
        </a:xfrm>
        <a:prstGeom prst="ellipse">
          <a:avLst/>
        </a:prstGeom>
        <a:solidFill>
          <a:srgbClr val="7030A0">
            <a:alpha val="5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258253" y="211716"/>
        <a:ext cx="776043" cy="1411443"/>
      </dsp:txXfrm>
    </dsp:sp>
    <dsp:sp modelId="{23A4F84C-F037-4BE8-A072-4F2E8F69E66B}">
      <dsp:nvSpPr>
        <dsp:cNvPr id="0" name=""/>
        <dsp:cNvSpPr/>
      </dsp:nvSpPr>
      <dsp:spPr>
        <a:xfrm>
          <a:off x="3196176" y="792751"/>
          <a:ext cx="2032732" cy="2014064"/>
        </a:xfrm>
        <a:prstGeom prst="ellipse">
          <a:avLst/>
        </a:prstGeom>
        <a:solidFill>
          <a:schemeClr val="accent2">
            <a:lumMod val="40000"/>
            <a:lumOff val="60000"/>
            <a:alpha val="5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430722" y="1896613"/>
        <a:ext cx="1563640" cy="639078"/>
      </dsp:txXfrm>
    </dsp:sp>
    <dsp:sp modelId="{A34EB154-3AC4-4C44-87DD-59FA00CC14A0}">
      <dsp:nvSpPr>
        <dsp:cNvPr id="0" name=""/>
        <dsp:cNvSpPr/>
      </dsp:nvSpPr>
      <dsp:spPr>
        <a:xfrm>
          <a:off x="1616628" y="822009"/>
          <a:ext cx="2064827" cy="1984800"/>
        </a:xfrm>
        <a:prstGeom prst="ellipse">
          <a:avLst/>
        </a:prstGeom>
        <a:solidFill>
          <a:srgbClr val="00B0F0">
            <a:alpha val="5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        </a:t>
          </a:r>
        </a:p>
      </dsp:txBody>
      <dsp:txXfrm>
        <a:off x="1775461" y="1051024"/>
        <a:ext cx="794164" cy="15267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6621</Words>
  <Characters>36419</Characters>
  <Application>Microsoft Office Word</Application>
  <DocSecurity>0</DocSecurity>
  <Lines>303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Arteaga Romero</dc:creator>
  <cp:lastModifiedBy>Manuel García Contreras</cp:lastModifiedBy>
  <cp:revision>2</cp:revision>
  <dcterms:created xsi:type="dcterms:W3CDTF">2015-06-22T22:23:00Z</dcterms:created>
  <dcterms:modified xsi:type="dcterms:W3CDTF">2015-06-22T22:23:00Z</dcterms:modified>
</cp:coreProperties>
</file>