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E7" w:rsidRPr="00421741" w:rsidRDefault="005875C8" w:rsidP="005875C8">
      <w:pPr>
        <w:spacing w:before="120" w:after="120" w:line="240" w:lineRule="auto"/>
        <w:jc w:val="center"/>
        <w:rPr>
          <w:rFonts w:cs="Arial"/>
          <w:b/>
          <w:sz w:val="28"/>
          <w:szCs w:val="28"/>
        </w:rPr>
      </w:pPr>
      <w:r w:rsidRPr="00421741">
        <w:rPr>
          <w:rFonts w:cs="Arial"/>
          <w:b/>
          <w:sz w:val="28"/>
          <w:szCs w:val="28"/>
        </w:rPr>
        <w:t>COMITÉ DE CULTURA</w:t>
      </w:r>
    </w:p>
    <w:p w:rsidR="005875C8" w:rsidRPr="00421741" w:rsidRDefault="005875C8" w:rsidP="005875C8">
      <w:pPr>
        <w:spacing w:before="120" w:after="120" w:line="240" w:lineRule="auto"/>
        <w:jc w:val="center"/>
        <w:rPr>
          <w:rFonts w:cs="Arial"/>
          <w:sz w:val="28"/>
          <w:szCs w:val="28"/>
        </w:rPr>
      </w:pPr>
      <w:r w:rsidRPr="00421741">
        <w:rPr>
          <w:rFonts w:cs="Arial"/>
          <w:b/>
          <w:sz w:val="28"/>
          <w:szCs w:val="28"/>
        </w:rPr>
        <w:t>SECULT</w:t>
      </w:r>
      <w:r w:rsidR="00802072" w:rsidRPr="00421741">
        <w:rPr>
          <w:rFonts w:cs="Arial"/>
          <w:b/>
          <w:sz w:val="28"/>
          <w:szCs w:val="28"/>
        </w:rPr>
        <w:t>-UACM</w:t>
      </w:r>
    </w:p>
    <w:p w:rsidR="005875C8" w:rsidRPr="004B5AFC" w:rsidRDefault="005875C8" w:rsidP="005875C8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5875C8" w:rsidRPr="004B5AFC" w:rsidRDefault="005875C8" w:rsidP="0013450A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4B5AFC">
        <w:rPr>
          <w:rFonts w:cs="Arial"/>
          <w:sz w:val="24"/>
          <w:szCs w:val="24"/>
        </w:rPr>
        <w:t xml:space="preserve">El 22 de octubre de 2014, la Secretaría de Cultura de la Ciudad de México (SECULT) y la Universidad Autónoma de la Ciudad de México (UACM) </w:t>
      </w:r>
      <w:r w:rsidR="004B5AFC">
        <w:rPr>
          <w:rFonts w:cs="Arial"/>
          <w:sz w:val="24"/>
          <w:szCs w:val="24"/>
        </w:rPr>
        <w:t xml:space="preserve">suscribieron </w:t>
      </w:r>
      <w:r w:rsidRPr="004B5AFC">
        <w:rPr>
          <w:rFonts w:cs="Arial"/>
          <w:sz w:val="24"/>
          <w:szCs w:val="24"/>
        </w:rPr>
        <w:t xml:space="preserve">un Convenio General de Colaboración con el objeto de </w:t>
      </w:r>
      <w:r w:rsidR="0013450A">
        <w:rPr>
          <w:rFonts w:cs="Arial"/>
          <w:sz w:val="24"/>
          <w:szCs w:val="24"/>
        </w:rPr>
        <w:t xml:space="preserve">conjugar esfuerzos y recursos entre ambas instituciones a efecto de </w:t>
      </w:r>
      <w:r w:rsidRPr="004B5AFC">
        <w:rPr>
          <w:rFonts w:cs="Arial"/>
          <w:sz w:val="24"/>
          <w:szCs w:val="24"/>
        </w:rPr>
        <w:t>promover la investigación, la docencia, la publicación de ediciones, la difusión de la cultura, la extensión y cooperación, el intercambio, así como la implementa</w:t>
      </w:r>
      <w:r w:rsidR="0013450A">
        <w:rPr>
          <w:rFonts w:cs="Arial"/>
          <w:sz w:val="24"/>
          <w:szCs w:val="24"/>
        </w:rPr>
        <w:t xml:space="preserve">ción de </w:t>
      </w:r>
      <w:r w:rsidRPr="004B5AFC">
        <w:rPr>
          <w:rFonts w:cs="Arial"/>
          <w:sz w:val="24"/>
          <w:szCs w:val="24"/>
        </w:rPr>
        <w:t>proyectos en conjunto</w:t>
      </w:r>
      <w:r w:rsidR="0013450A">
        <w:rPr>
          <w:rFonts w:cs="Arial"/>
          <w:sz w:val="24"/>
          <w:szCs w:val="24"/>
        </w:rPr>
        <w:t xml:space="preserve"> sin propósitos de lucro.</w:t>
      </w:r>
    </w:p>
    <w:p w:rsidR="00851144" w:rsidRDefault="00851144" w:rsidP="00851144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4B5AFC">
        <w:rPr>
          <w:rFonts w:cs="Arial"/>
          <w:sz w:val="24"/>
          <w:szCs w:val="24"/>
        </w:rPr>
        <w:t xml:space="preserve">En el marco de esta colaboración conjunta, la SECULT y la UACM consideraron </w:t>
      </w:r>
      <w:r w:rsidR="00C0228D">
        <w:rPr>
          <w:rFonts w:cs="Arial"/>
          <w:sz w:val="24"/>
          <w:szCs w:val="24"/>
        </w:rPr>
        <w:t xml:space="preserve">la conveniencia de crear </w:t>
      </w:r>
      <w:r w:rsidRPr="004B5AFC">
        <w:rPr>
          <w:rFonts w:cs="Arial"/>
          <w:sz w:val="24"/>
          <w:szCs w:val="24"/>
        </w:rPr>
        <w:t xml:space="preserve">una instancia </w:t>
      </w:r>
      <w:r w:rsidR="0013450A">
        <w:rPr>
          <w:rFonts w:cs="Arial"/>
          <w:sz w:val="24"/>
          <w:szCs w:val="24"/>
        </w:rPr>
        <w:t>de coordinación para revis</w:t>
      </w:r>
      <w:r w:rsidR="00791CB7">
        <w:rPr>
          <w:rFonts w:cs="Arial"/>
          <w:sz w:val="24"/>
          <w:szCs w:val="24"/>
        </w:rPr>
        <w:t>ar</w:t>
      </w:r>
      <w:r w:rsidR="0013450A">
        <w:rPr>
          <w:rFonts w:cs="Arial"/>
          <w:sz w:val="24"/>
          <w:szCs w:val="24"/>
        </w:rPr>
        <w:t xml:space="preserve"> y valida</w:t>
      </w:r>
      <w:r w:rsidR="00791CB7">
        <w:rPr>
          <w:rFonts w:cs="Arial"/>
          <w:sz w:val="24"/>
          <w:szCs w:val="24"/>
        </w:rPr>
        <w:t>r</w:t>
      </w:r>
      <w:r w:rsidR="0013450A">
        <w:rPr>
          <w:rFonts w:cs="Arial"/>
          <w:sz w:val="24"/>
          <w:szCs w:val="24"/>
        </w:rPr>
        <w:t xml:space="preserve"> </w:t>
      </w:r>
      <w:r w:rsidR="00743000" w:rsidRPr="00791CB7">
        <w:rPr>
          <w:rFonts w:cs="Arial"/>
          <w:sz w:val="24"/>
          <w:szCs w:val="24"/>
        </w:rPr>
        <w:t xml:space="preserve">las acciones que </w:t>
      </w:r>
      <w:r w:rsidR="0013450A" w:rsidRPr="00791CB7">
        <w:rPr>
          <w:rFonts w:cs="Arial"/>
          <w:sz w:val="24"/>
          <w:szCs w:val="24"/>
        </w:rPr>
        <w:t xml:space="preserve">se propongan en el marco del programa de trabajo que </w:t>
      </w:r>
      <w:r w:rsidR="00D573AF">
        <w:rPr>
          <w:rFonts w:cs="Arial"/>
          <w:sz w:val="24"/>
          <w:szCs w:val="24"/>
        </w:rPr>
        <w:t xml:space="preserve">se </w:t>
      </w:r>
      <w:r w:rsidR="0013450A" w:rsidRPr="00791CB7">
        <w:rPr>
          <w:rFonts w:cs="Arial"/>
          <w:sz w:val="24"/>
          <w:szCs w:val="24"/>
        </w:rPr>
        <w:t>desprend</w:t>
      </w:r>
      <w:r w:rsidR="00C0228D">
        <w:rPr>
          <w:rFonts w:cs="Arial"/>
          <w:sz w:val="24"/>
          <w:szCs w:val="24"/>
        </w:rPr>
        <w:t>a</w:t>
      </w:r>
      <w:r w:rsidR="0013450A" w:rsidRPr="00791CB7">
        <w:rPr>
          <w:rFonts w:cs="Arial"/>
          <w:sz w:val="24"/>
          <w:szCs w:val="24"/>
        </w:rPr>
        <w:t xml:space="preserve"> del convenio de colaboración</w:t>
      </w:r>
      <w:r w:rsidR="00791CB7">
        <w:rPr>
          <w:rFonts w:cs="Arial"/>
          <w:sz w:val="24"/>
          <w:szCs w:val="24"/>
        </w:rPr>
        <w:t xml:space="preserve"> </w:t>
      </w:r>
      <w:r w:rsidR="00110A11" w:rsidRPr="004B5AFC">
        <w:rPr>
          <w:rFonts w:cs="Arial"/>
          <w:sz w:val="24"/>
          <w:szCs w:val="24"/>
        </w:rPr>
        <w:t xml:space="preserve">y </w:t>
      </w:r>
      <w:r w:rsidR="00791CB7">
        <w:rPr>
          <w:rFonts w:cs="Arial"/>
          <w:sz w:val="24"/>
          <w:szCs w:val="24"/>
        </w:rPr>
        <w:t xml:space="preserve">así </w:t>
      </w:r>
      <w:r w:rsidR="00110A11" w:rsidRPr="004B5AFC">
        <w:rPr>
          <w:rFonts w:cs="Arial"/>
          <w:sz w:val="24"/>
          <w:szCs w:val="24"/>
        </w:rPr>
        <w:t>fortalec</w:t>
      </w:r>
      <w:r w:rsidR="00791CB7">
        <w:rPr>
          <w:rFonts w:cs="Arial"/>
          <w:sz w:val="24"/>
          <w:szCs w:val="24"/>
        </w:rPr>
        <w:t>er</w:t>
      </w:r>
      <w:r w:rsidR="00110A11" w:rsidRPr="004B5AFC">
        <w:rPr>
          <w:rFonts w:cs="Arial"/>
          <w:sz w:val="24"/>
          <w:szCs w:val="24"/>
        </w:rPr>
        <w:t xml:space="preserve"> las acciones de vinculación entre ambas instituciones. Para ello, en el mes de diciembre de 2015 se creó el </w:t>
      </w:r>
      <w:r w:rsidR="00110A11" w:rsidRPr="004B5AFC">
        <w:rPr>
          <w:rFonts w:cs="Arial"/>
          <w:i/>
          <w:sz w:val="24"/>
          <w:szCs w:val="24"/>
        </w:rPr>
        <w:t>Comité de Cultura SECULT-UACM</w:t>
      </w:r>
      <w:r w:rsidR="00110A11" w:rsidRPr="004B5AFC">
        <w:rPr>
          <w:rFonts w:cs="Arial"/>
          <w:sz w:val="24"/>
          <w:szCs w:val="24"/>
        </w:rPr>
        <w:t xml:space="preserve"> que tiene como objetivo general: Impulsar proyectos </w:t>
      </w:r>
      <w:r w:rsidR="005537A1" w:rsidRPr="004B5AFC">
        <w:rPr>
          <w:rFonts w:cs="Arial"/>
          <w:sz w:val="24"/>
          <w:szCs w:val="24"/>
        </w:rPr>
        <w:t xml:space="preserve">de desarrollo cultural, formación, investigación, difusión, vinculación y extensión que fomenten acciones culturales y de desarrollo comunitario, de </w:t>
      </w:r>
      <w:proofErr w:type="gramStart"/>
      <w:r w:rsidR="005537A1" w:rsidRPr="004B5AFC">
        <w:rPr>
          <w:rFonts w:cs="Arial"/>
          <w:sz w:val="24"/>
          <w:szCs w:val="24"/>
        </w:rPr>
        <w:t>acuerdo</w:t>
      </w:r>
      <w:proofErr w:type="gramEnd"/>
      <w:r w:rsidR="005537A1" w:rsidRPr="004B5AFC">
        <w:rPr>
          <w:rFonts w:cs="Arial"/>
          <w:sz w:val="24"/>
          <w:szCs w:val="24"/>
        </w:rPr>
        <w:t xml:space="preserve"> con las políticas </w:t>
      </w:r>
      <w:r w:rsidR="00791CB7">
        <w:rPr>
          <w:rFonts w:cs="Arial"/>
          <w:sz w:val="24"/>
          <w:szCs w:val="24"/>
        </w:rPr>
        <w:t>y competencias de ambas instituciones</w:t>
      </w:r>
      <w:r w:rsidR="005537A1" w:rsidRPr="004B5AFC">
        <w:rPr>
          <w:rFonts w:cs="Arial"/>
          <w:sz w:val="24"/>
          <w:szCs w:val="24"/>
        </w:rPr>
        <w:t>, en pos de favorecer la inclusión social, los derechos culturales</w:t>
      </w:r>
      <w:r w:rsidR="00791CB7">
        <w:rPr>
          <w:rFonts w:cs="Arial"/>
          <w:sz w:val="24"/>
          <w:szCs w:val="24"/>
        </w:rPr>
        <w:t xml:space="preserve"> y</w:t>
      </w:r>
      <w:r w:rsidR="005537A1" w:rsidRPr="004B5AFC">
        <w:rPr>
          <w:rFonts w:cs="Arial"/>
          <w:sz w:val="24"/>
          <w:szCs w:val="24"/>
        </w:rPr>
        <w:t xml:space="preserve"> la participación social</w:t>
      </w:r>
      <w:r w:rsidR="00791CB7">
        <w:rPr>
          <w:rFonts w:cs="Arial"/>
          <w:sz w:val="24"/>
          <w:szCs w:val="24"/>
        </w:rPr>
        <w:t>,</w:t>
      </w:r>
      <w:r w:rsidR="005537A1" w:rsidRPr="004B5AFC">
        <w:rPr>
          <w:rFonts w:cs="Arial"/>
          <w:sz w:val="24"/>
          <w:szCs w:val="24"/>
        </w:rPr>
        <w:t xml:space="preserve"> permitiendo visibilizar el impacto en la sociedad desde una planificación </w:t>
      </w:r>
      <w:r w:rsidR="00C0228D">
        <w:rPr>
          <w:rFonts w:cs="Arial"/>
          <w:sz w:val="24"/>
          <w:szCs w:val="24"/>
        </w:rPr>
        <w:t xml:space="preserve">que sume a la sociedad civil como partícipe en la construcción de programas </w:t>
      </w:r>
      <w:r w:rsidR="005537A1" w:rsidRPr="004B5AFC">
        <w:rPr>
          <w:rFonts w:cs="Arial"/>
          <w:sz w:val="24"/>
          <w:szCs w:val="24"/>
        </w:rPr>
        <w:t>a partir de la formulación, ejecución, seguimiento, evaluación y control de acciones que aseguren la congruencia de la política cultural de la Ciudad.</w:t>
      </w:r>
    </w:p>
    <w:p w:rsidR="0098681A" w:rsidRPr="001567DD" w:rsidRDefault="00026315" w:rsidP="00851144">
      <w:p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1567DD">
        <w:rPr>
          <w:rFonts w:cs="Arial"/>
          <w:b/>
          <w:sz w:val="24"/>
          <w:szCs w:val="24"/>
        </w:rPr>
        <w:t>L</w:t>
      </w:r>
      <w:r w:rsidR="0098681A" w:rsidRPr="001567DD">
        <w:rPr>
          <w:rFonts w:cs="Arial"/>
          <w:b/>
          <w:sz w:val="24"/>
          <w:szCs w:val="24"/>
        </w:rPr>
        <w:t>os proyectos y programas de colaboración conjunta han de inscribirse en uno o más ejes señalados por la S</w:t>
      </w:r>
      <w:r w:rsidR="00CB00D2" w:rsidRPr="001567DD">
        <w:rPr>
          <w:rFonts w:cs="Arial"/>
          <w:b/>
          <w:sz w:val="24"/>
          <w:szCs w:val="24"/>
        </w:rPr>
        <w:t xml:space="preserve">ECULT y </w:t>
      </w:r>
      <w:r w:rsidR="0098681A" w:rsidRPr="001567DD">
        <w:rPr>
          <w:rFonts w:cs="Arial"/>
          <w:b/>
          <w:sz w:val="24"/>
          <w:szCs w:val="24"/>
        </w:rPr>
        <w:t>la U</w:t>
      </w:r>
      <w:r w:rsidR="00CB00D2" w:rsidRPr="001567DD">
        <w:rPr>
          <w:rFonts w:cs="Arial"/>
          <w:b/>
          <w:sz w:val="24"/>
          <w:szCs w:val="24"/>
        </w:rPr>
        <w:t>ACM</w:t>
      </w:r>
      <w:r w:rsidR="0098681A" w:rsidRPr="001567DD">
        <w:rPr>
          <w:rFonts w:cs="Arial"/>
          <w:b/>
          <w:sz w:val="24"/>
          <w:szCs w:val="24"/>
        </w:rPr>
        <w:t xml:space="preserve">. En el caso de la primera, los ejes </w:t>
      </w:r>
      <w:r w:rsidR="00CB00D2" w:rsidRPr="001567DD">
        <w:rPr>
          <w:rFonts w:cs="Arial"/>
          <w:b/>
          <w:sz w:val="24"/>
          <w:szCs w:val="24"/>
        </w:rPr>
        <w:t>propuestos son cuatro</w:t>
      </w:r>
      <w:r w:rsidR="0098681A" w:rsidRPr="001567DD">
        <w:rPr>
          <w:rFonts w:cs="Arial"/>
          <w:b/>
          <w:sz w:val="24"/>
          <w:szCs w:val="24"/>
        </w:rPr>
        <w:t>: Patrimonio, Información, Trabajo Comunitario</w:t>
      </w:r>
      <w:r w:rsidR="00CB00D2" w:rsidRPr="001567DD">
        <w:rPr>
          <w:rFonts w:cs="Arial"/>
          <w:b/>
          <w:sz w:val="24"/>
          <w:szCs w:val="24"/>
        </w:rPr>
        <w:t xml:space="preserve"> y</w:t>
      </w:r>
      <w:r w:rsidR="0098681A" w:rsidRPr="001567DD">
        <w:rPr>
          <w:rFonts w:cs="Arial"/>
          <w:b/>
          <w:sz w:val="24"/>
          <w:szCs w:val="24"/>
        </w:rPr>
        <w:t xml:space="preserve"> Programación. En el caso de la segunda, los ejes son constituidos por las funciones sustantivas de la Universidad: Formación, Investigación, Difusión, Extensión y Vinculación.</w:t>
      </w:r>
    </w:p>
    <w:p w:rsidR="0098681A" w:rsidRPr="004B5AFC" w:rsidRDefault="0098681A" w:rsidP="00851144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4B5AFC">
        <w:rPr>
          <w:rFonts w:cs="Arial"/>
          <w:sz w:val="24"/>
          <w:szCs w:val="24"/>
        </w:rPr>
        <w:lastRenderedPageBreak/>
        <w:t xml:space="preserve">En este </w:t>
      </w:r>
      <w:r w:rsidR="003C7456" w:rsidRPr="004B5AFC">
        <w:rPr>
          <w:rFonts w:cs="Arial"/>
          <w:sz w:val="24"/>
          <w:szCs w:val="24"/>
        </w:rPr>
        <w:t xml:space="preserve">contexto, el Comité de Cultura SECULT-UACM distingue dos </w:t>
      </w:r>
      <w:r w:rsidR="00CB00D2">
        <w:rPr>
          <w:rFonts w:cs="Arial"/>
          <w:sz w:val="24"/>
          <w:szCs w:val="24"/>
        </w:rPr>
        <w:t xml:space="preserve">grupos de </w:t>
      </w:r>
      <w:r w:rsidR="003C7456" w:rsidRPr="004B5AFC">
        <w:rPr>
          <w:rFonts w:cs="Arial"/>
          <w:sz w:val="24"/>
          <w:szCs w:val="24"/>
        </w:rPr>
        <w:t xml:space="preserve">proyectos y programas </w:t>
      </w:r>
      <w:r w:rsidR="00CB00D2">
        <w:rPr>
          <w:rFonts w:cs="Arial"/>
          <w:sz w:val="24"/>
          <w:szCs w:val="24"/>
        </w:rPr>
        <w:t xml:space="preserve">para integrarse como parte de </w:t>
      </w:r>
      <w:r w:rsidR="003C7456" w:rsidRPr="004B5AFC">
        <w:rPr>
          <w:rFonts w:cs="Arial"/>
          <w:sz w:val="24"/>
          <w:szCs w:val="24"/>
        </w:rPr>
        <w:t xml:space="preserve">su </w:t>
      </w:r>
      <w:r w:rsidR="003C7456" w:rsidRPr="001567DD">
        <w:rPr>
          <w:rFonts w:cs="Arial"/>
          <w:b/>
          <w:i/>
          <w:sz w:val="24"/>
          <w:szCs w:val="24"/>
        </w:rPr>
        <w:t>Programa de Trabajo Interinstitucional</w:t>
      </w:r>
      <w:r w:rsidR="003C7456" w:rsidRPr="004B5AFC">
        <w:rPr>
          <w:rFonts w:cs="Arial"/>
          <w:sz w:val="24"/>
          <w:szCs w:val="24"/>
        </w:rPr>
        <w:t xml:space="preserve">. El primer </w:t>
      </w:r>
      <w:r w:rsidR="00CB00D2">
        <w:rPr>
          <w:rFonts w:cs="Arial"/>
          <w:sz w:val="24"/>
          <w:szCs w:val="24"/>
        </w:rPr>
        <w:t xml:space="preserve">grupo </w:t>
      </w:r>
      <w:r w:rsidR="005E5C58" w:rsidRPr="004B5AFC">
        <w:rPr>
          <w:rFonts w:cs="Arial"/>
          <w:sz w:val="24"/>
          <w:szCs w:val="24"/>
        </w:rPr>
        <w:t>(cuadro 1</w:t>
      </w:r>
      <w:r w:rsidR="003C7456" w:rsidRPr="004B5AFC">
        <w:rPr>
          <w:rFonts w:cs="Arial"/>
          <w:sz w:val="24"/>
          <w:szCs w:val="24"/>
        </w:rPr>
        <w:t>) incluye aquellos proyectos y programas que ya se desarrollan gracias a la colaboración conjunta entre ambas instituci</w:t>
      </w:r>
      <w:r w:rsidR="005E5C58" w:rsidRPr="004B5AFC">
        <w:rPr>
          <w:rFonts w:cs="Arial"/>
          <w:sz w:val="24"/>
          <w:szCs w:val="24"/>
        </w:rPr>
        <w:t>ones. El segundo tipo (cuadro 2</w:t>
      </w:r>
      <w:r w:rsidR="003C7456" w:rsidRPr="004B5AFC">
        <w:rPr>
          <w:rFonts w:cs="Arial"/>
          <w:sz w:val="24"/>
          <w:szCs w:val="24"/>
        </w:rPr>
        <w:t>) incluye aquellos proyectos y programas que</w:t>
      </w:r>
      <w:r w:rsidR="005E5C58" w:rsidRPr="004B5AFC">
        <w:rPr>
          <w:rFonts w:cs="Arial"/>
          <w:sz w:val="24"/>
          <w:szCs w:val="24"/>
        </w:rPr>
        <w:t xml:space="preserve"> se realizan por </w:t>
      </w:r>
      <w:r w:rsidR="00CB00D2">
        <w:rPr>
          <w:rFonts w:cs="Arial"/>
          <w:sz w:val="24"/>
          <w:szCs w:val="24"/>
        </w:rPr>
        <w:t>cualquiera de las dos partes</w:t>
      </w:r>
      <w:r w:rsidR="005E5C58" w:rsidRPr="004B5AFC">
        <w:rPr>
          <w:rFonts w:cs="Arial"/>
          <w:sz w:val="24"/>
          <w:szCs w:val="24"/>
        </w:rPr>
        <w:t xml:space="preserve">, pero no de manera conjunta y que </w:t>
      </w:r>
      <w:r w:rsidR="005E5C58" w:rsidRPr="004B5AFC">
        <w:rPr>
          <w:rFonts w:cs="Arial"/>
          <w:sz w:val="24"/>
          <w:szCs w:val="24"/>
        </w:rPr>
        <w:sym w:font="Symbol" w:char="F02D"/>
      </w:r>
      <w:r w:rsidR="005E5C58" w:rsidRPr="004B5AFC">
        <w:rPr>
          <w:rFonts w:cs="Arial"/>
          <w:sz w:val="24"/>
          <w:szCs w:val="24"/>
        </w:rPr>
        <w:t>en un corto plazo</w:t>
      </w:r>
      <w:r w:rsidR="005E5C58" w:rsidRPr="004B5AFC">
        <w:rPr>
          <w:rFonts w:cs="Arial"/>
          <w:sz w:val="24"/>
          <w:szCs w:val="24"/>
        </w:rPr>
        <w:sym w:font="Symbol" w:char="F02D"/>
      </w:r>
      <w:r w:rsidR="005E5C58" w:rsidRPr="004B5AFC">
        <w:rPr>
          <w:rFonts w:cs="Arial"/>
          <w:sz w:val="24"/>
          <w:szCs w:val="24"/>
        </w:rPr>
        <w:t xml:space="preserve"> pueden pasar a </w:t>
      </w:r>
      <w:r w:rsidR="00CB00D2">
        <w:rPr>
          <w:rFonts w:cs="Arial"/>
          <w:sz w:val="24"/>
          <w:szCs w:val="24"/>
        </w:rPr>
        <w:t xml:space="preserve">formar </w:t>
      </w:r>
      <w:r w:rsidR="005E5C58" w:rsidRPr="004B5AFC">
        <w:rPr>
          <w:rFonts w:cs="Arial"/>
          <w:sz w:val="24"/>
          <w:szCs w:val="24"/>
        </w:rPr>
        <w:t>parte de la modalidad de colaboración conjunta.</w:t>
      </w:r>
    </w:p>
    <w:p w:rsidR="005E5C58" w:rsidRPr="004B5AFC" w:rsidRDefault="005E5C58" w:rsidP="00851144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935C9C" w:rsidRPr="00CB00D2" w:rsidRDefault="00935C9C" w:rsidP="00935C9C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CB00D2">
        <w:rPr>
          <w:rFonts w:cs="Arial"/>
          <w:b/>
          <w:sz w:val="24"/>
          <w:szCs w:val="24"/>
        </w:rPr>
        <w:t>Cuadro 1. Proyectos y Programas dentro de la modalidad colaboración conjunta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5135"/>
        <w:gridCol w:w="919"/>
        <w:gridCol w:w="830"/>
      </w:tblGrid>
      <w:tr w:rsidR="00757FE7" w:rsidRPr="006F2CFD" w:rsidTr="006F2CFD">
        <w:tc>
          <w:tcPr>
            <w:tcW w:w="0" w:type="auto"/>
            <w:vMerge w:val="restart"/>
            <w:shd w:val="clear" w:color="auto" w:fill="D9D9D9"/>
          </w:tcPr>
          <w:p w:rsidR="00144416" w:rsidRPr="006F2CFD" w:rsidRDefault="00144416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F2CFD">
              <w:rPr>
                <w:rFonts w:cs="Arial"/>
                <w:b/>
                <w:i/>
              </w:rPr>
              <w:t>Proyecto/Programa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144416" w:rsidRPr="006F2CFD" w:rsidRDefault="00144416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F2CFD">
              <w:rPr>
                <w:rFonts w:cs="Arial"/>
                <w:b/>
                <w:i/>
              </w:rPr>
              <w:t>Objetivo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144416" w:rsidRPr="006F2CFD" w:rsidRDefault="00757FE7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Puntos de Vinculación</w:t>
            </w:r>
          </w:p>
        </w:tc>
      </w:tr>
      <w:tr w:rsidR="00757FE7" w:rsidRPr="006F2CFD" w:rsidTr="006F2CFD">
        <w:tc>
          <w:tcPr>
            <w:tcW w:w="0" w:type="auto"/>
            <w:vMerge/>
            <w:shd w:val="clear" w:color="auto" w:fill="auto"/>
          </w:tcPr>
          <w:p w:rsidR="00144416" w:rsidRPr="006F2CFD" w:rsidRDefault="00144416" w:rsidP="006F2CF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4416" w:rsidRPr="006F2CFD" w:rsidRDefault="00144416" w:rsidP="006F2CF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/>
          </w:tcPr>
          <w:p w:rsidR="00144416" w:rsidRPr="006F2CFD" w:rsidRDefault="00144416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F2CFD">
              <w:rPr>
                <w:rFonts w:cs="Arial"/>
                <w:b/>
                <w:i/>
              </w:rPr>
              <w:t>SECULT</w:t>
            </w:r>
          </w:p>
        </w:tc>
        <w:tc>
          <w:tcPr>
            <w:tcW w:w="0" w:type="auto"/>
            <w:shd w:val="clear" w:color="auto" w:fill="D9D9D9"/>
          </w:tcPr>
          <w:p w:rsidR="00144416" w:rsidRPr="006F2CFD" w:rsidRDefault="00144416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F2CFD">
              <w:rPr>
                <w:rFonts w:cs="Arial"/>
                <w:b/>
                <w:i/>
              </w:rPr>
              <w:t>UACM</w:t>
            </w:r>
          </w:p>
        </w:tc>
      </w:tr>
      <w:tr w:rsidR="00757FE7" w:rsidRPr="006F2CFD" w:rsidTr="006F2CFD">
        <w:tc>
          <w:tcPr>
            <w:tcW w:w="0" w:type="auto"/>
            <w:shd w:val="clear" w:color="auto" w:fill="auto"/>
          </w:tcPr>
          <w:p w:rsidR="00144416" w:rsidRPr="006F2CFD" w:rsidRDefault="003D0773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Laboratorio de Políticas y Gestión de la Cultura en la Ciudad de México.</w:t>
            </w:r>
          </w:p>
        </w:tc>
        <w:tc>
          <w:tcPr>
            <w:tcW w:w="0" w:type="auto"/>
            <w:shd w:val="clear" w:color="auto" w:fill="auto"/>
          </w:tcPr>
          <w:p w:rsidR="00144416" w:rsidRPr="006F2CFD" w:rsidRDefault="00917913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Vincular los intereses de la U</w:t>
            </w:r>
            <w:r w:rsidR="00D20905" w:rsidRPr="006F2CFD">
              <w:rPr>
                <w:rFonts w:cs="Arial"/>
              </w:rPr>
              <w:t>ACM</w:t>
            </w:r>
            <w:r w:rsidRPr="006F2CFD">
              <w:rPr>
                <w:rFonts w:cs="Arial"/>
              </w:rPr>
              <w:t>,</w:t>
            </w:r>
            <w:r w:rsidR="00D20905" w:rsidRPr="006F2CFD">
              <w:rPr>
                <w:rFonts w:cs="Arial"/>
              </w:rPr>
              <w:t xml:space="preserve"> y </w:t>
            </w:r>
            <w:r w:rsidRPr="006F2CFD">
              <w:rPr>
                <w:rFonts w:cs="Arial"/>
              </w:rPr>
              <w:t>la S</w:t>
            </w:r>
            <w:r w:rsidR="00757FE7">
              <w:rPr>
                <w:rFonts w:cs="Arial"/>
              </w:rPr>
              <w:t xml:space="preserve">ECULT, a través de la Red Cultural </w:t>
            </w:r>
            <w:r w:rsidR="00D20905" w:rsidRPr="006F2CFD">
              <w:rPr>
                <w:rFonts w:cs="Arial"/>
              </w:rPr>
              <w:t xml:space="preserve">Oriente, a </w:t>
            </w:r>
            <w:r w:rsidRPr="006F2CFD">
              <w:rPr>
                <w:rFonts w:cs="Arial"/>
              </w:rPr>
              <w:t>partir de la formación de gestores y promotores culturales, la sistematización y evaluación de políticas públicas, así como la investigación sobre derechos, proyectos y prácticas culturales en la Ciudad de México.</w:t>
            </w:r>
          </w:p>
        </w:tc>
        <w:tc>
          <w:tcPr>
            <w:tcW w:w="0" w:type="auto"/>
            <w:shd w:val="clear" w:color="auto" w:fill="auto"/>
          </w:tcPr>
          <w:p w:rsidR="006F5378" w:rsidRPr="006F2CFD" w:rsidRDefault="006F5378" w:rsidP="00757FE7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F5378" w:rsidRPr="006F2CFD" w:rsidRDefault="006F5378" w:rsidP="00757FE7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0" w:type="auto"/>
            <w:shd w:val="clear" w:color="auto" w:fill="auto"/>
          </w:tcPr>
          <w:p w:rsidR="00C805E3" w:rsidRDefault="00C805E3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Círculos de lectura de la UACM</w:t>
            </w:r>
          </w:p>
          <w:p w:rsidR="00757FE7" w:rsidRPr="00757FE7" w:rsidRDefault="00757FE7" w:rsidP="006F2CFD">
            <w:pPr>
              <w:spacing w:after="0" w:line="240" w:lineRule="auto"/>
              <w:rPr>
                <w:rFonts w:cs="Arial"/>
                <w:color w:val="FF0000"/>
              </w:rPr>
            </w:pPr>
            <w:r w:rsidRPr="00757FE7">
              <w:rPr>
                <w:rFonts w:cs="Arial"/>
                <w:color w:val="FF0000"/>
              </w:rPr>
              <w:t xml:space="preserve">FORTALCERLO Y AVERIGUAR EN QUE FASE ESTÁ EL PROYECTO- </w:t>
            </w:r>
          </w:p>
        </w:tc>
        <w:tc>
          <w:tcPr>
            <w:tcW w:w="0" w:type="auto"/>
            <w:shd w:val="clear" w:color="auto" w:fill="auto"/>
          </w:tcPr>
          <w:p w:rsidR="00C805E3" w:rsidRPr="006F2CFD" w:rsidRDefault="00C805E3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Promover la lectura dentro y fuera de nuestra Universidad. Así como difundir el acervo editorial de la UACM, entre otras publicaciones.</w:t>
            </w:r>
          </w:p>
          <w:p w:rsidR="00C805E3" w:rsidRPr="006F2CFD" w:rsidRDefault="00C805E3" w:rsidP="006F2CF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57FE7" w:rsidRDefault="00757FE7" w:rsidP="006F2CF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757FE7" w:rsidRPr="006F2CFD" w:rsidRDefault="00757FE7" w:rsidP="006F2CF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805E3" w:rsidRPr="006F2CFD" w:rsidRDefault="00C805E3" w:rsidP="00757FE7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0" w:type="auto"/>
            <w:shd w:val="clear" w:color="auto" w:fill="auto"/>
          </w:tcPr>
          <w:p w:rsidR="00531A3A" w:rsidRDefault="00531A3A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De-Formación Estar aquí haciendo algo (pedagogía critica)</w:t>
            </w:r>
          </w:p>
          <w:p w:rsidR="00757FE7" w:rsidRPr="00757FE7" w:rsidRDefault="00757FE7" w:rsidP="006F2CFD">
            <w:pPr>
              <w:spacing w:after="0" w:line="240" w:lineRule="auto"/>
              <w:rPr>
                <w:rFonts w:cs="Arial"/>
                <w:color w:val="FF0000"/>
              </w:rPr>
            </w:pPr>
            <w:r w:rsidRPr="00757FE7">
              <w:rPr>
                <w:rFonts w:cs="Arial"/>
                <w:color w:val="FF0000"/>
              </w:rPr>
              <w:t xml:space="preserve">AVERIGUAR EN QUE FASE ESTÁ EL PROYECTO - </w:t>
            </w:r>
          </w:p>
        </w:tc>
        <w:tc>
          <w:tcPr>
            <w:tcW w:w="0" w:type="auto"/>
            <w:shd w:val="clear" w:color="auto" w:fill="auto"/>
          </w:tcPr>
          <w:p w:rsidR="00531A3A" w:rsidRPr="006F2CFD" w:rsidRDefault="00531A3A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Una plataforma de reflexión y debate constituida por mesas de diálogo y talleres dinámicos cuyo fin es debatir, exponer y reconocer la experiencia colectiva en actividades artísticas y culturales que han generado un impacto social y político y, por lo tanto, han sido capaces de construir una comunidad a través de redes de comunicación, enseñanza y aprendizaje.</w:t>
            </w:r>
          </w:p>
        </w:tc>
        <w:tc>
          <w:tcPr>
            <w:tcW w:w="0" w:type="auto"/>
            <w:shd w:val="clear" w:color="auto" w:fill="auto"/>
          </w:tcPr>
          <w:p w:rsidR="0091232A" w:rsidRPr="006F2CFD" w:rsidRDefault="0091232A" w:rsidP="006F2CFD">
            <w:pPr>
              <w:spacing w:after="0" w:line="240" w:lineRule="auto"/>
              <w:jc w:val="both"/>
              <w:rPr>
                <w:rFonts w:ascii="Arial" w:eastAsia="SimSun" w:hAnsi="Arial" w:cs="Arial"/>
                <w:color w:val="222222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531A3A" w:rsidRPr="006F2CFD" w:rsidRDefault="00531A3A" w:rsidP="006F2CF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31A3A" w:rsidRPr="006F2CFD" w:rsidRDefault="00531A3A" w:rsidP="00757FE7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</w:tbl>
    <w:p w:rsidR="00144416" w:rsidRPr="004B5AFC" w:rsidRDefault="00144416" w:rsidP="00851144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757FE7" w:rsidRDefault="00757FE7" w:rsidP="00935C9C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</w:p>
    <w:p w:rsidR="00757FE7" w:rsidRDefault="00757FE7" w:rsidP="00935C9C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</w:p>
    <w:p w:rsidR="00757FE7" w:rsidRDefault="00757FE7" w:rsidP="00935C9C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</w:p>
    <w:p w:rsidR="00935C9C" w:rsidRPr="00CB00D2" w:rsidRDefault="00935C9C" w:rsidP="00935C9C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CB00D2">
        <w:rPr>
          <w:rFonts w:cs="Arial"/>
          <w:b/>
          <w:sz w:val="24"/>
          <w:szCs w:val="24"/>
        </w:rPr>
        <w:lastRenderedPageBreak/>
        <w:t>Cuadro 2. Proyectos y Programas fuera de la modalidad colaboración conjunta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3455"/>
        <w:gridCol w:w="1825"/>
        <w:gridCol w:w="1751"/>
      </w:tblGrid>
      <w:tr w:rsidR="00757FE7" w:rsidRPr="006F2CFD" w:rsidTr="006F2CFD">
        <w:tc>
          <w:tcPr>
            <w:tcW w:w="2193" w:type="dxa"/>
            <w:vMerge w:val="restart"/>
            <w:shd w:val="clear" w:color="auto" w:fill="D9D9D9"/>
          </w:tcPr>
          <w:p w:rsidR="00935C9C" w:rsidRPr="006F2CFD" w:rsidRDefault="00935C9C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F2CFD">
              <w:rPr>
                <w:rFonts w:cs="Arial"/>
                <w:b/>
                <w:i/>
              </w:rPr>
              <w:t>Proyecto/Programa</w:t>
            </w:r>
          </w:p>
        </w:tc>
        <w:tc>
          <w:tcPr>
            <w:tcW w:w="3455" w:type="dxa"/>
            <w:vMerge w:val="restart"/>
            <w:shd w:val="clear" w:color="auto" w:fill="D9D9D9"/>
          </w:tcPr>
          <w:p w:rsidR="00935C9C" w:rsidRPr="006F2CFD" w:rsidRDefault="00935C9C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F2CFD">
              <w:rPr>
                <w:rFonts w:cs="Arial"/>
                <w:b/>
                <w:i/>
              </w:rPr>
              <w:t>Objetivo</w:t>
            </w:r>
          </w:p>
        </w:tc>
        <w:tc>
          <w:tcPr>
            <w:tcW w:w="3576" w:type="dxa"/>
            <w:gridSpan w:val="2"/>
            <w:shd w:val="clear" w:color="auto" w:fill="D9D9D9"/>
          </w:tcPr>
          <w:p w:rsidR="00935C9C" w:rsidRPr="006F2CFD" w:rsidRDefault="00757FE7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Puntos de Vinculación</w:t>
            </w:r>
          </w:p>
        </w:tc>
      </w:tr>
      <w:tr w:rsidR="00757FE7" w:rsidRPr="006F2CFD" w:rsidTr="006F2CFD">
        <w:tc>
          <w:tcPr>
            <w:tcW w:w="2193" w:type="dxa"/>
            <w:vMerge/>
            <w:shd w:val="clear" w:color="auto" w:fill="auto"/>
          </w:tcPr>
          <w:p w:rsidR="00935C9C" w:rsidRPr="006F2CFD" w:rsidRDefault="00935C9C" w:rsidP="006F2CF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455" w:type="dxa"/>
            <w:vMerge/>
            <w:shd w:val="clear" w:color="auto" w:fill="auto"/>
          </w:tcPr>
          <w:p w:rsidR="00935C9C" w:rsidRPr="006F2CFD" w:rsidRDefault="00935C9C" w:rsidP="006F2CF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25" w:type="dxa"/>
            <w:shd w:val="clear" w:color="auto" w:fill="D9D9D9"/>
          </w:tcPr>
          <w:p w:rsidR="00935C9C" w:rsidRPr="006F2CFD" w:rsidRDefault="00935C9C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F2CFD">
              <w:rPr>
                <w:rFonts w:cs="Arial"/>
                <w:b/>
                <w:i/>
              </w:rPr>
              <w:t>SECULT</w:t>
            </w:r>
          </w:p>
        </w:tc>
        <w:tc>
          <w:tcPr>
            <w:tcW w:w="1751" w:type="dxa"/>
            <w:shd w:val="clear" w:color="auto" w:fill="D9D9D9"/>
          </w:tcPr>
          <w:p w:rsidR="00935C9C" w:rsidRPr="006F2CFD" w:rsidRDefault="00935C9C" w:rsidP="006F2CF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F2CFD">
              <w:rPr>
                <w:rFonts w:cs="Arial"/>
                <w:b/>
                <w:i/>
              </w:rPr>
              <w:t>UACM</w:t>
            </w: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935C9C" w:rsidRDefault="0088364D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Observatorio de Políticas Culturales de la UACM</w:t>
            </w:r>
          </w:p>
          <w:p w:rsidR="00757FE7" w:rsidRDefault="00757FE7" w:rsidP="006F2CFD">
            <w:pPr>
              <w:spacing w:after="0" w:line="240" w:lineRule="auto"/>
              <w:rPr>
                <w:rFonts w:cs="Arial"/>
                <w:color w:val="FF0000"/>
              </w:rPr>
            </w:pPr>
            <w:r w:rsidRPr="00757FE7">
              <w:rPr>
                <w:rFonts w:cs="Arial"/>
                <w:color w:val="FF0000"/>
              </w:rPr>
              <w:t>SE REQUIERE AJUSTARLO CON EL ÁREA DE EVALUACIÓN</w:t>
            </w:r>
            <w:r>
              <w:rPr>
                <w:rFonts w:cs="Arial"/>
                <w:color w:val="FF0000"/>
              </w:rPr>
              <w:t xml:space="preserve"> – RAMÓN LEP</w:t>
            </w:r>
            <w:r w:rsidR="00ED3566">
              <w:rPr>
                <w:rFonts w:cs="Arial"/>
                <w:color w:val="FF0000"/>
              </w:rPr>
              <w:t>EZ</w:t>
            </w:r>
            <w:r w:rsidR="001C4871">
              <w:rPr>
                <w:rFonts w:cs="Arial"/>
                <w:color w:val="FF0000"/>
              </w:rPr>
              <w:t>.</w:t>
            </w:r>
          </w:p>
          <w:p w:rsidR="001C4871" w:rsidRPr="00757FE7" w:rsidRDefault="001C4871" w:rsidP="006F2CFD">
            <w:pPr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DEPENDERÁ DE LAS NECESIDADES REQUERIDAS</w:t>
            </w:r>
          </w:p>
        </w:tc>
        <w:tc>
          <w:tcPr>
            <w:tcW w:w="3455" w:type="dxa"/>
            <w:shd w:val="clear" w:color="auto" w:fill="auto"/>
          </w:tcPr>
          <w:p w:rsidR="00935C9C" w:rsidRPr="006F2CFD" w:rsidRDefault="0088364D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A través de la investigación y la reflexión crítica, generar información y conocimiento que permita incidir en la toma de decisiones y en el análisis de las políticas culturales de la Ciudad de México.</w:t>
            </w:r>
          </w:p>
        </w:tc>
        <w:tc>
          <w:tcPr>
            <w:tcW w:w="1825" w:type="dxa"/>
            <w:shd w:val="clear" w:color="auto" w:fill="auto"/>
          </w:tcPr>
          <w:p w:rsidR="00935C9C" w:rsidRPr="006F2CFD" w:rsidRDefault="00935C9C" w:rsidP="00757FE7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751" w:type="dxa"/>
            <w:shd w:val="clear" w:color="auto" w:fill="auto"/>
          </w:tcPr>
          <w:p w:rsidR="00EB2703" w:rsidRPr="00757FE7" w:rsidRDefault="00EB2703" w:rsidP="00757FE7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935C9C" w:rsidRPr="006F2CFD" w:rsidRDefault="00935C9C" w:rsidP="006F2CF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935C9C" w:rsidRDefault="00A40757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Proyecto académico en Magdalena Contreras y Milpa Alta</w:t>
            </w:r>
          </w:p>
          <w:p w:rsidR="00891740" w:rsidRPr="00891740" w:rsidRDefault="00891740" w:rsidP="006F2CFD">
            <w:pPr>
              <w:spacing w:after="0" w:line="240" w:lineRule="auto"/>
              <w:rPr>
                <w:rFonts w:cs="Arial"/>
                <w:color w:val="FF0000"/>
              </w:rPr>
            </w:pPr>
            <w:r w:rsidRPr="00891740">
              <w:rPr>
                <w:rFonts w:cs="Arial"/>
                <w:color w:val="FF0000"/>
              </w:rPr>
              <w:t>EN QUE FASE SE ENCUENTRA EL PROYECTO - ESTRELLA</w:t>
            </w:r>
          </w:p>
        </w:tc>
        <w:tc>
          <w:tcPr>
            <w:tcW w:w="3455" w:type="dxa"/>
            <w:shd w:val="clear" w:color="auto" w:fill="auto"/>
          </w:tcPr>
          <w:p w:rsidR="00935C9C" w:rsidRPr="006F2CFD" w:rsidRDefault="00A40757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Elaborar el proyecto académico y de cooperación con las comunidades y la ciudadanía, hacia la creación  de los planteles de la Universidad Autónoma de la Ciudad de México en Magdalena Contreras y Milpa Alta; articular la relación, la oferta y la investigación académica a partir de un proceso participativo de diálogo entre la universidad y las comunidades de los pueblos del sur de–oriente y el sur- poniente de la Ciudad de México para construir un proyecto educativo orientado a responder a sus peculiaridades y necesidades en un entorno rural-urbano, que sirva a los pueblos de estas zonas en su búsqueda por el buen vivir, así como promover la vinculación con diversas instituciones académicas y gubernamentales para la gestión de recursos requeridos para este proyecto.</w:t>
            </w:r>
          </w:p>
        </w:tc>
        <w:tc>
          <w:tcPr>
            <w:tcW w:w="1825" w:type="dxa"/>
            <w:shd w:val="clear" w:color="auto" w:fill="auto"/>
          </w:tcPr>
          <w:p w:rsidR="00A40757" w:rsidRPr="00757FE7" w:rsidRDefault="00757FE7" w:rsidP="00757FE7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  <w:color w:val="FF0000"/>
              </w:rPr>
            </w:pPr>
            <w:r w:rsidRPr="00757FE7">
              <w:rPr>
                <w:rFonts w:cs="Arial"/>
                <w:color w:val="FF0000"/>
              </w:rPr>
              <w:t>Mercados</w:t>
            </w:r>
          </w:p>
          <w:p w:rsidR="00757FE7" w:rsidRPr="00757FE7" w:rsidRDefault="00757FE7" w:rsidP="00757FE7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  <w:color w:val="FF0000"/>
              </w:rPr>
            </w:pPr>
            <w:r w:rsidRPr="00757FE7">
              <w:rPr>
                <w:rFonts w:cs="Arial"/>
                <w:color w:val="FF0000"/>
              </w:rPr>
              <w:t>Faro</w:t>
            </w:r>
          </w:p>
          <w:p w:rsidR="00757FE7" w:rsidRPr="00757FE7" w:rsidRDefault="00757FE7" w:rsidP="00757FE7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757FE7">
              <w:rPr>
                <w:rFonts w:cs="Arial"/>
                <w:color w:val="FF0000"/>
              </w:rPr>
              <w:t>Trabajo comunitario</w:t>
            </w:r>
          </w:p>
        </w:tc>
        <w:tc>
          <w:tcPr>
            <w:tcW w:w="1751" w:type="dxa"/>
            <w:shd w:val="clear" w:color="auto" w:fill="auto"/>
          </w:tcPr>
          <w:p w:rsidR="00935C9C" w:rsidRPr="00757FE7" w:rsidRDefault="00935C9C" w:rsidP="00757FE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025ECD" w:rsidRDefault="00025ECD" w:rsidP="006F2CFD">
            <w:pPr>
              <w:spacing w:after="0" w:line="240" w:lineRule="auto"/>
              <w:rPr>
                <w:lang w:val="es-ES"/>
              </w:rPr>
            </w:pPr>
            <w:r w:rsidRPr="006F2CFD">
              <w:rPr>
                <w:lang w:val="es-ES"/>
              </w:rPr>
              <w:t>Aprendizaje cooperativo mediante agroecología urbana</w:t>
            </w:r>
          </w:p>
          <w:p w:rsidR="00ED3566" w:rsidRPr="006F2CFD" w:rsidRDefault="00ED3566" w:rsidP="006F2CF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Estudiantes de Posgrado .PROYECTO </w:t>
            </w:r>
            <w:r>
              <w:rPr>
                <w:rFonts w:cs="Arial"/>
              </w:rPr>
              <w:lastRenderedPageBreak/>
              <w:t>CONCLUIDO QUE REQUIERE CONTINUIDAD</w:t>
            </w:r>
          </w:p>
        </w:tc>
        <w:tc>
          <w:tcPr>
            <w:tcW w:w="3455" w:type="dxa"/>
            <w:shd w:val="clear" w:color="auto" w:fill="auto"/>
          </w:tcPr>
          <w:p w:rsidR="00025ECD" w:rsidRPr="006F2CFD" w:rsidRDefault="00ED3566" w:rsidP="006F2CFD">
            <w:pPr>
              <w:spacing w:after="0" w:line="240" w:lineRule="auto"/>
              <w:rPr>
                <w:rFonts w:cs="Arial"/>
              </w:rPr>
            </w:pPr>
            <w:r>
              <w:rPr>
                <w:lang w:val="es-ES"/>
              </w:rPr>
              <w:lastRenderedPageBreak/>
              <w:t xml:space="preserve">Creación de semillas para su cultivo. Formación en el cultivo de huertas con niños y padres de familia en </w:t>
            </w:r>
            <w:r w:rsidR="00025ECD" w:rsidRPr="006F2CFD">
              <w:rPr>
                <w:lang w:val="es-ES"/>
              </w:rPr>
              <w:t xml:space="preserve">Santa Cruz </w:t>
            </w:r>
            <w:proofErr w:type="spellStart"/>
            <w:r w:rsidR="00025ECD" w:rsidRPr="006F2CFD">
              <w:rPr>
                <w:lang w:val="es-ES"/>
              </w:rPr>
              <w:t>Meyehualco</w:t>
            </w:r>
            <w:proofErr w:type="spellEnd"/>
            <w:r w:rsidR="00025ECD" w:rsidRPr="006F2CFD">
              <w:rPr>
                <w:lang w:val="es-ES"/>
              </w:rPr>
              <w:t xml:space="preserve"> en la delegación Iztapalapa</w:t>
            </w:r>
            <w:r>
              <w:rPr>
                <w:lang w:val="es-ES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025ECD" w:rsidRPr="00757FE7" w:rsidRDefault="00025ECD" w:rsidP="00757FE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751" w:type="dxa"/>
            <w:shd w:val="clear" w:color="auto" w:fill="auto"/>
          </w:tcPr>
          <w:p w:rsidR="00025ECD" w:rsidRPr="006F2CFD" w:rsidRDefault="00025ECD" w:rsidP="00DA6FD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36685F" w:rsidRDefault="0036685F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>Por el doble pasamanos</w:t>
            </w:r>
          </w:p>
          <w:p w:rsidR="00D74496" w:rsidRDefault="00D74496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PROYECTO CONCLUIDO QUE REQUIERE CONTINUIDAD</w:t>
            </w:r>
          </w:p>
          <w:p w:rsidR="00891740" w:rsidRPr="00891740" w:rsidRDefault="00891740" w:rsidP="006F2CFD">
            <w:pPr>
              <w:pStyle w:val="Prrafodelista"/>
              <w:spacing w:after="0" w:line="240" w:lineRule="auto"/>
              <w:ind w:left="0"/>
              <w:rPr>
                <w:color w:val="FF0000"/>
                <w:lang w:val="es-ES"/>
              </w:rPr>
            </w:pPr>
          </w:p>
        </w:tc>
        <w:tc>
          <w:tcPr>
            <w:tcW w:w="3455" w:type="dxa"/>
            <w:shd w:val="clear" w:color="auto" w:fill="auto"/>
          </w:tcPr>
          <w:p w:rsidR="0036685F" w:rsidRPr="006F2CFD" w:rsidRDefault="0036685F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>Promover un diálogo y discurso alternativo que permita evidenciar el cómo los estereotipos y el encasillamiento, influyen de manera negativa en la percepción que tienen los usuarios sobre el servicio</w:t>
            </w:r>
            <w:r w:rsidR="00ED3566">
              <w:rPr>
                <w:lang w:val="es-ES"/>
              </w:rPr>
              <w:t xml:space="preserve"> DE LA Ruta 42 Taxqueña</w:t>
            </w:r>
            <w:r w:rsidRPr="006F2CFD">
              <w:rPr>
                <w:lang w:val="es-ES"/>
              </w:rPr>
              <w:t xml:space="preserve"> y la gente que día con día los transporta a sus diferentes destinos. De este modo se pretende generar una nueva percepción en torno al ser operador de transporte público, más allá de las consideraciones que se tiene sobre ellos</w:t>
            </w:r>
            <w:r w:rsidR="00ED3566">
              <w:rPr>
                <w:lang w:val="es-ES"/>
              </w:rPr>
              <w:t>. Estudiantes de la Licenciatura de Comunicación</w:t>
            </w:r>
            <w:r w:rsidR="00D74496">
              <w:rPr>
                <w:lang w:val="es-ES"/>
              </w:rPr>
              <w:t>. Apoyo con CENEFES</w:t>
            </w:r>
          </w:p>
        </w:tc>
        <w:tc>
          <w:tcPr>
            <w:tcW w:w="1825" w:type="dxa"/>
            <w:shd w:val="clear" w:color="auto" w:fill="auto"/>
          </w:tcPr>
          <w:p w:rsidR="0036685F" w:rsidRPr="00757FE7" w:rsidRDefault="0036685F" w:rsidP="00757FE7">
            <w:pPr>
              <w:pStyle w:val="Prrafodelista"/>
              <w:spacing w:after="0" w:line="240" w:lineRule="auto"/>
              <w:ind w:left="0"/>
              <w:rPr>
                <w:color w:val="FF0000"/>
                <w:lang w:val="es-ES"/>
              </w:rPr>
            </w:pPr>
          </w:p>
        </w:tc>
        <w:tc>
          <w:tcPr>
            <w:tcW w:w="1751" w:type="dxa"/>
            <w:shd w:val="clear" w:color="auto" w:fill="auto"/>
          </w:tcPr>
          <w:p w:rsidR="0036685F" w:rsidRPr="006F2CFD" w:rsidRDefault="0036685F" w:rsidP="00757FE7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DC117E" w:rsidRDefault="00DC117E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>Memoria colectiva en la colonia Obrera. La voz de sus protagonistas</w:t>
            </w:r>
          </w:p>
          <w:p w:rsidR="00D74496" w:rsidRDefault="00D74496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YA CONCLUYO, FALTA LA PUBLICACIÓN DE LOS RESULTADOS. REQUIERE CONTINUIDAD</w:t>
            </w:r>
          </w:p>
          <w:p w:rsidR="00CD3AC9" w:rsidRPr="00891740" w:rsidRDefault="00CD3AC9" w:rsidP="006F2CFD">
            <w:pPr>
              <w:pStyle w:val="Prrafodelista"/>
              <w:spacing w:after="0" w:line="240" w:lineRule="auto"/>
              <w:ind w:left="0"/>
              <w:rPr>
                <w:color w:val="FF0000"/>
                <w:lang w:val="es-ES"/>
              </w:rPr>
            </w:pPr>
          </w:p>
        </w:tc>
        <w:tc>
          <w:tcPr>
            <w:tcW w:w="3455" w:type="dxa"/>
            <w:shd w:val="clear" w:color="auto" w:fill="auto"/>
          </w:tcPr>
          <w:p w:rsidR="00DC117E" w:rsidRPr="006F2CFD" w:rsidRDefault="00DC117E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>Realizar entrevistas e investigación testimonial sobre la memoria colectiva de los habitantes de la colonia obrera con fuentes históricas, documentales y fotográficas.</w:t>
            </w:r>
            <w:r w:rsidR="00D74496">
              <w:rPr>
                <w:lang w:val="es-ES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:rsidR="00DC117E" w:rsidRPr="00757FE7" w:rsidRDefault="00DC117E" w:rsidP="00757FE7">
            <w:pPr>
              <w:pStyle w:val="Prrafodelista"/>
              <w:spacing w:after="0" w:line="240" w:lineRule="auto"/>
              <w:ind w:left="360"/>
              <w:rPr>
                <w:color w:val="FF0000"/>
                <w:lang w:val="es-ES"/>
              </w:rPr>
            </w:pPr>
          </w:p>
        </w:tc>
        <w:tc>
          <w:tcPr>
            <w:tcW w:w="1751" w:type="dxa"/>
            <w:shd w:val="clear" w:color="auto" w:fill="auto"/>
          </w:tcPr>
          <w:p w:rsidR="00DC117E" w:rsidRPr="006F2CFD" w:rsidRDefault="00DC117E" w:rsidP="00757FE7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51457B" w:rsidRDefault="007C0193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>Holgazane</w:t>
            </w:r>
            <w:r w:rsidR="0051457B" w:rsidRPr="006F2CFD">
              <w:rPr>
                <w:lang w:val="es-ES"/>
              </w:rPr>
              <w:t>a</w:t>
            </w:r>
            <w:r w:rsidRPr="006F2CFD">
              <w:rPr>
                <w:lang w:val="es-ES"/>
              </w:rPr>
              <w:t>n</w:t>
            </w:r>
            <w:r w:rsidR="0051457B" w:rsidRPr="006F2CFD">
              <w:rPr>
                <w:lang w:val="es-ES"/>
              </w:rPr>
              <w:t>do entre letras</w:t>
            </w:r>
            <w:r w:rsidR="00D74496">
              <w:rPr>
                <w:lang w:val="es-ES"/>
              </w:rPr>
              <w:t>. PROYECTO INICIADO , CONCLUYE EN AGOSTO- SEPTIEMBRE</w:t>
            </w:r>
          </w:p>
          <w:p w:rsidR="00CD3AC9" w:rsidRPr="00CD3AC9" w:rsidRDefault="00CD3AC9" w:rsidP="006F2CFD">
            <w:pPr>
              <w:pStyle w:val="Prrafodelista"/>
              <w:spacing w:after="0" w:line="240" w:lineRule="auto"/>
              <w:ind w:left="0"/>
              <w:rPr>
                <w:color w:val="FF0000"/>
                <w:lang w:val="es-ES"/>
              </w:rPr>
            </w:pPr>
          </w:p>
        </w:tc>
        <w:tc>
          <w:tcPr>
            <w:tcW w:w="3455" w:type="dxa"/>
            <w:shd w:val="clear" w:color="auto" w:fill="auto"/>
          </w:tcPr>
          <w:p w:rsidR="0051457B" w:rsidRPr="006F2CFD" w:rsidRDefault="0051457B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>Estimular el gusto por la lectura de libros literarios con niños de 7 a 8 años de edad que asisten a la escuela José Ma. Rodríguez de Iztapalapa</w:t>
            </w:r>
            <w:r w:rsidR="00D74496">
              <w:rPr>
                <w:lang w:val="es-ES"/>
              </w:rPr>
              <w:t>. Fomento a la lectura</w:t>
            </w:r>
          </w:p>
        </w:tc>
        <w:tc>
          <w:tcPr>
            <w:tcW w:w="1825" w:type="dxa"/>
            <w:shd w:val="clear" w:color="auto" w:fill="auto"/>
          </w:tcPr>
          <w:p w:rsidR="0051457B" w:rsidRPr="00CD3AC9" w:rsidRDefault="00757FE7" w:rsidP="00757FE7">
            <w:pPr>
              <w:pStyle w:val="Prrafodelista"/>
              <w:spacing w:after="0" w:line="240" w:lineRule="auto"/>
              <w:ind w:left="0"/>
              <w:jc w:val="both"/>
              <w:rPr>
                <w:color w:val="FF0000"/>
                <w:lang w:val="es-ES"/>
              </w:rPr>
            </w:pPr>
            <w:r w:rsidRPr="00CD3AC9">
              <w:rPr>
                <w:color w:val="FF0000"/>
                <w:lang w:val="es-ES"/>
              </w:rPr>
              <w:t>Juego de Roles</w:t>
            </w:r>
          </w:p>
        </w:tc>
        <w:tc>
          <w:tcPr>
            <w:tcW w:w="1751" w:type="dxa"/>
            <w:shd w:val="clear" w:color="auto" w:fill="auto"/>
          </w:tcPr>
          <w:p w:rsidR="0051457B" w:rsidRPr="006F2CFD" w:rsidRDefault="0051457B" w:rsidP="006F2C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Arial"/>
              </w:rPr>
            </w:pPr>
            <w:r w:rsidRPr="006F2CFD">
              <w:rPr>
                <w:rFonts w:cs="Arial"/>
              </w:rPr>
              <w:t>Extensión</w:t>
            </w: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8914C2" w:rsidRDefault="008914C2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>Didáctica biocultural, música, danza y medio ambiente</w:t>
            </w:r>
          </w:p>
          <w:p w:rsidR="00CD3AC9" w:rsidRPr="00D74496" w:rsidRDefault="00D74496" w:rsidP="006F2CFD">
            <w:pPr>
              <w:pStyle w:val="Prrafodelista"/>
              <w:spacing w:after="0" w:line="240" w:lineRule="auto"/>
              <w:ind w:left="0"/>
              <w:rPr>
                <w:color w:val="000000" w:themeColor="text1"/>
                <w:lang w:val="es-ES"/>
              </w:rPr>
            </w:pPr>
            <w:r w:rsidRPr="00D74496">
              <w:rPr>
                <w:color w:val="000000" w:themeColor="text1"/>
                <w:lang w:val="es-ES"/>
              </w:rPr>
              <w:t>CONCLUYE EN AGOSTO Y REQUIERE CONTINUIDAD</w:t>
            </w:r>
          </w:p>
        </w:tc>
        <w:tc>
          <w:tcPr>
            <w:tcW w:w="3455" w:type="dxa"/>
            <w:shd w:val="clear" w:color="auto" w:fill="auto"/>
          </w:tcPr>
          <w:p w:rsidR="008914C2" w:rsidRPr="006F2CFD" w:rsidRDefault="008914C2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 xml:space="preserve">Generar entre la población la importancia del medio ambiente por medio de las diferentes disciplinas artísticas en San Miguel </w:t>
            </w:r>
            <w:proofErr w:type="spellStart"/>
            <w:r w:rsidRPr="006F2CFD">
              <w:rPr>
                <w:lang w:val="es-ES"/>
              </w:rPr>
              <w:t>Teotongo</w:t>
            </w:r>
            <w:proofErr w:type="spellEnd"/>
            <w:r w:rsidR="00CD3AC9">
              <w:rPr>
                <w:lang w:val="es-ES"/>
              </w:rPr>
              <w:t xml:space="preserve"> </w:t>
            </w:r>
            <w:r w:rsidR="001C4871">
              <w:rPr>
                <w:lang w:val="es-ES"/>
              </w:rPr>
              <w:t>–</w:t>
            </w:r>
            <w:r w:rsidR="00CD3AC9">
              <w:rPr>
                <w:lang w:val="es-ES"/>
              </w:rPr>
              <w:t xml:space="preserve"> Iztapalapa</w:t>
            </w:r>
            <w:r w:rsidR="001C4871">
              <w:rPr>
                <w:lang w:val="es-ES"/>
              </w:rPr>
              <w:t>. Con herramientas artísticas desarrollan trabajo para el medio ambiente con la comunidad</w:t>
            </w:r>
          </w:p>
        </w:tc>
        <w:tc>
          <w:tcPr>
            <w:tcW w:w="1825" w:type="dxa"/>
            <w:shd w:val="clear" w:color="auto" w:fill="auto"/>
          </w:tcPr>
          <w:p w:rsidR="008914C2" w:rsidRPr="006F2CFD" w:rsidRDefault="008914C2" w:rsidP="00CD3AC9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</w:tc>
        <w:tc>
          <w:tcPr>
            <w:tcW w:w="1751" w:type="dxa"/>
            <w:shd w:val="clear" w:color="auto" w:fill="auto"/>
          </w:tcPr>
          <w:p w:rsidR="008914C2" w:rsidRPr="006F2CFD" w:rsidRDefault="008914C2" w:rsidP="00CD3AC9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FB46AF" w:rsidRDefault="00FB46AF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lastRenderedPageBreak/>
              <w:t>La ética en la formación fundamental del individuo</w:t>
            </w:r>
          </w:p>
          <w:p w:rsidR="00CD3AC9" w:rsidRPr="00CD3AC9" w:rsidRDefault="00CD3AC9" w:rsidP="006F2CFD">
            <w:pPr>
              <w:pStyle w:val="Prrafodelista"/>
              <w:spacing w:after="0" w:line="240" w:lineRule="auto"/>
              <w:ind w:left="0"/>
              <w:rPr>
                <w:color w:val="FF0000"/>
                <w:lang w:val="es-ES"/>
              </w:rPr>
            </w:pPr>
          </w:p>
        </w:tc>
        <w:tc>
          <w:tcPr>
            <w:tcW w:w="3455" w:type="dxa"/>
            <w:shd w:val="clear" w:color="auto" w:fill="auto"/>
          </w:tcPr>
          <w:p w:rsidR="00FB46AF" w:rsidRPr="006F2CFD" w:rsidRDefault="00FB46AF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>Que el individuo haga uso de los conocimientos éticos adquiridos, para que mediante el análisis filosófico logre identificar problemas morales para estructurar, jerarquizar y proponer soluciones viables para contribuir en la mejora de su entorno social y como individuo</w:t>
            </w:r>
            <w:r w:rsidR="001C4871">
              <w:rPr>
                <w:lang w:val="es-ES"/>
              </w:rPr>
              <w:t>. Talleres  con temas relacionados a las problemáticas de la ciudad.</w:t>
            </w:r>
          </w:p>
        </w:tc>
        <w:tc>
          <w:tcPr>
            <w:tcW w:w="1825" w:type="dxa"/>
            <w:shd w:val="clear" w:color="auto" w:fill="auto"/>
          </w:tcPr>
          <w:p w:rsidR="00FB46AF" w:rsidRPr="00CD3AC9" w:rsidRDefault="00CD3AC9" w:rsidP="00CD3AC9">
            <w:pPr>
              <w:pStyle w:val="Prrafodelista"/>
              <w:spacing w:after="0" w:line="240" w:lineRule="auto"/>
              <w:ind w:left="360"/>
              <w:rPr>
                <w:color w:val="FF0000"/>
                <w:lang w:val="es-ES"/>
              </w:rPr>
            </w:pPr>
            <w:r w:rsidRPr="00CD3AC9">
              <w:rPr>
                <w:color w:val="FF0000"/>
                <w:lang w:val="es-ES"/>
              </w:rPr>
              <w:t>Día Mundial de la Filosofía</w:t>
            </w:r>
          </w:p>
        </w:tc>
        <w:tc>
          <w:tcPr>
            <w:tcW w:w="1751" w:type="dxa"/>
            <w:shd w:val="clear" w:color="auto" w:fill="auto"/>
          </w:tcPr>
          <w:p w:rsidR="00FB46AF" w:rsidRPr="006F2CFD" w:rsidRDefault="00FB46AF" w:rsidP="00CD3AC9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5F63D8" w:rsidRPr="006F2CFD" w:rsidRDefault="005F63D8" w:rsidP="006F2CFD">
            <w:pPr>
              <w:pStyle w:val="Prrafodelista"/>
              <w:spacing w:after="0" w:line="240" w:lineRule="auto"/>
              <w:ind w:left="0"/>
            </w:pPr>
            <w:r w:rsidRPr="006F2CFD">
              <w:t>Mirada documental</w:t>
            </w:r>
          </w:p>
          <w:p w:rsidR="005F63D8" w:rsidRDefault="005F63D8" w:rsidP="006F2CFD">
            <w:pPr>
              <w:pStyle w:val="Prrafodelista"/>
              <w:spacing w:after="0" w:line="240" w:lineRule="auto"/>
              <w:ind w:left="0"/>
            </w:pPr>
            <w:r w:rsidRPr="006F2CFD">
              <w:t>Proceso de migración</w:t>
            </w:r>
          </w:p>
          <w:p w:rsidR="00CD3AC9" w:rsidRPr="001C4871" w:rsidRDefault="001C4871" w:rsidP="006F2CFD">
            <w:pPr>
              <w:pStyle w:val="Prrafodelista"/>
              <w:spacing w:after="0" w:line="240" w:lineRule="auto"/>
              <w:ind w:left="0"/>
              <w:rPr>
                <w:color w:val="000000" w:themeColor="text1"/>
              </w:rPr>
            </w:pPr>
            <w:r w:rsidRPr="001C4871">
              <w:rPr>
                <w:color w:val="000000" w:themeColor="text1"/>
              </w:rPr>
              <w:t>EL PROYECTO CONCLUYE EN SEPTIEMBRE, REQUIERE SU CONTINUIDAD</w:t>
            </w:r>
          </w:p>
        </w:tc>
        <w:tc>
          <w:tcPr>
            <w:tcW w:w="3455" w:type="dxa"/>
            <w:shd w:val="clear" w:color="auto" w:fill="auto"/>
          </w:tcPr>
          <w:p w:rsidR="005F63D8" w:rsidRPr="006F2CFD" w:rsidRDefault="005F63D8" w:rsidP="006F2CFD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 w:rsidRPr="006F2CFD">
              <w:rPr>
                <w:lang w:val="es-ES"/>
              </w:rPr>
              <w:t>Generar un documental con personas que han migrado a la ciudad para implementar dinámicas participativas a partir de sus testimonios.</w:t>
            </w:r>
          </w:p>
        </w:tc>
        <w:tc>
          <w:tcPr>
            <w:tcW w:w="1825" w:type="dxa"/>
            <w:shd w:val="clear" w:color="auto" w:fill="auto"/>
          </w:tcPr>
          <w:p w:rsidR="005F63D8" w:rsidRPr="00CD3AC9" w:rsidRDefault="00CD3AC9" w:rsidP="00427D19">
            <w:pPr>
              <w:pStyle w:val="Prrafodelista"/>
              <w:spacing w:after="0" w:line="240" w:lineRule="auto"/>
              <w:ind w:left="360"/>
              <w:jc w:val="both"/>
              <w:rPr>
                <w:color w:val="FF0000"/>
                <w:lang w:val="es-ES"/>
              </w:rPr>
            </w:pPr>
            <w:r w:rsidRPr="00CD3AC9">
              <w:rPr>
                <w:color w:val="FF0000"/>
                <w:lang w:val="es-ES"/>
              </w:rPr>
              <w:t>Alma</w:t>
            </w:r>
            <w:bookmarkStart w:id="0" w:name="_GoBack"/>
            <w:bookmarkEnd w:id="0"/>
          </w:p>
        </w:tc>
        <w:tc>
          <w:tcPr>
            <w:tcW w:w="1751" w:type="dxa"/>
            <w:shd w:val="clear" w:color="auto" w:fill="auto"/>
          </w:tcPr>
          <w:p w:rsidR="005F63D8" w:rsidRPr="00CD3AC9" w:rsidRDefault="005F63D8" w:rsidP="00CD3AC9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896C5B" w:rsidRDefault="00896C5B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San Pancho: mi casa grande (Intervención gráfica como medio de reconstrucción del tejido social, identidad y memoria)</w:t>
            </w:r>
          </w:p>
          <w:p w:rsidR="00CD3AC9" w:rsidRPr="00CD3AC9" w:rsidRDefault="00CD3AC9" w:rsidP="006F2CFD">
            <w:pPr>
              <w:spacing w:after="0" w:line="240" w:lineRule="auto"/>
              <w:rPr>
                <w:rFonts w:cs="Arial"/>
                <w:color w:val="FF0000"/>
              </w:rPr>
            </w:pPr>
            <w:r w:rsidRPr="00CD3AC9">
              <w:rPr>
                <w:rFonts w:cs="Arial"/>
                <w:color w:val="FF0000"/>
              </w:rPr>
              <w:t>ESPECIFICAR EN QUE FASE SE ENCUENTRA EL PROYECTO - YESSICA</w:t>
            </w:r>
          </w:p>
        </w:tc>
        <w:tc>
          <w:tcPr>
            <w:tcW w:w="3455" w:type="dxa"/>
            <w:shd w:val="clear" w:color="auto" w:fill="auto"/>
          </w:tcPr>
          <w:p w:rsidR="00896C5B" w:rsidRPr="006F2CFD" w:rsidRDefault="00896C5B" w:rsidP="006F2CFD">
            <w:pPr>
              <w:spacing w:after="0" w:line="240" w:lineRule="auto"/>
              <w:contextualSpacing/>
              <w:rPr>
                <w:rFonts w:cs="Arial"/>
              </w:rPr>
            </w:pPr>
            <w:r w:rsidRPr="006F2CFD">
              <w:rPr>
                <w:rFonts w:cs="Arial"/>
              </w:rPr>
              <w:t xml:space="preserve">Hacer una proyección de estreno del documental, al aire libre, en la calle San Francisco Tulenco esquina Topacio en colaboración con </w:t>
            </w:r>
            <w:r w:rsidRPr="006F2CFD">
              <w:rPr>
                <w:rFonts w:cs="Arial"/>
                <w:b/>
                <w:i/>
              </w:rPr>
              <w:t>Productora Calles.</w:t>
            </w:r>
            <w:r w:rsidRPr="006F2CFD">
              <w:rPr>
                <w:rFonts w:cs="Arial"/>
              </w:rPr>
              <w:t xml:space="preserve"> </w:t>
            </w:r>
          </w:p>
          <w:p w:rsidR="00896C5B" w:rsidRPr="006F2CFD" w:rsidRDefault="00896C5B" w:rsidP="006F2CFD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96C5B" w:rsidRPr="006F2CFD" w:rsidRDefault="00896C5B" w:rsidP="006F2CFD">
            <w:pPr>
              <w:spacing w:after="0" w:line="240" w:lineRule="auto"/>
              <w:contextualSpacing/>
              <w:rPr>
                <w:rFonts w:cs="Arial"/>
              </w:rPr>
            </w:pPr>
            <w:r w:rsidRPr="006F2CFD">
              <w:rPr>
                <w:rFonts w:cs="Arial"/>
              </w:rPr>
              <w:t>Realizar una gira del documental “</w:t>
            </w:r>
            <w:r w:rsidRPr="006F2CFD">
              <w:rPr>
                <w:rFonts w:cs="Arial"/>
                <w:i/>
              </w:rPr>
              <w:t>San Pancho: mi casa grande”</w:t>
            </w:r>
            <w:r w:rsidRPr="006F2CFD">
              <w:rPr>
                <w:rFonts w:cs="Arial"/>
              </w:rPr>
              <w:t xml:space="preserve"> en    diversas esquinas y puntos de encuentro en la Paulino Navarro, colonia a la cual pertenece el barrio San Pancho con la finalidad de dar a conocer el trabajo que realizaron niñas/os y jóvenes que habitan en esta calle.</w:t>
            </w:r>
          </w:p>
          <w:p w:rsidR="00896C5B" w:rsidRPr="006F2CFD" w:rsidRDefault="00896C5B" w:rsidP="006F2CFD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96C5B" w:rsidRPr="006F2CFD" w:rsidRDefault="00896C5B" w:rsidP="006F2CFD">
            <w:pPr>
              <w:spacing w:after="0" w:line="240" w:lineRule="auto"/>
              <w:contextualSpacing/>
              <w:rPr>
                <w:rFonts w:cs="Arial"/>
              </w:rPr>
            </w:pPr>
            <w:r w:rsidRPr="006F2CFD">
              <w:rPr>
                <w:rFonts w:cs="Arial"/>
              </w:rPr>
              <w:t>Reproducir un tiraje de mil ejemplares del documental que serán entregados a vecinas y vecinos de San Pancho en la proyección de estreno y durante la gira del cortometraje para continuar con la difusión del patrimonio cultural intangible de su barrio.</w:t>
            </w:r>
          </w:p>
          <w:p w:rsidR="00896C5B" w:rsidRPr="006F2CFD" w:rsidRDefault="00896C5B" w:rsidP="006F2CFD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96C5B" w:rsidRPr="006F2CFD" w:rsidRDefault="00896C5B" w:rsidP="006F2CFD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6F2CFD">
              <w:rPr>
                <w:rFonts w:cs="Arial"/>
                <w:color w:val="000000"/>
                <w:shd w:val="clear" w:color="auto" w:fill="FEFEFE"/>
              </w:rPr>
              <w:t xml:space="preserve">Crear un empaque artesanal para </w:t>
            </w:r>
            <w:r w:rsidRPr="006F2CFD">
              <w:rPr>
                <w:rFonts w:cs="Arial"/>
                <w:color w:val="000000"/>
                <w:shd w:val="clear" w:color="auto" w:fill="FEFEFE"/>
              </w:rPr>
              <w:lastRenderedPageBreak/>
              <w:t>DVD diseñado y xerografiado por Res Crea para su distribución.</w:t>
            </w:r>
          </w:p>
        </w:tc>
        <w:tc>
          <w:tcPr>
            <w:tcW w:w="1825" w:type="dxa"/>
            <w:shd w:val="clear" w:color="auto" w:fill="auto"/>
          </w:tcPr>
          <w:p w:rsidR="00896C5B" w:rsidRPr="00CD3AC9" w:rsidRDefault="00896C5B" w:rsidP="00CD3AC9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  <w:tc>
          <w:tcPr>
            <w:tcW w:w="1751" w:type="dxa"/>
            <w:shd w:val="clear" w:color="auto" w:fill="auto"/>
          </w:tcPr>
          <w:p w:rsidR="00896C5B" w:rsidRPr="00CD3AC9" w:rsidRDefault="00896C5B" w:rsidP="00CD3AC9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  <w:tr w:rsidR="00757FE7" w:rsidRPr="006F2CFD" w:rsidTr="006F2CFD">
        <w:tc>
          <w:tcPr>
            <w:tcW w:w="2193" w:type="dxa"/>
            <w:shd w:val="clear" w:color="auto" w:fill="auto"/>
          </w:tcPr>
          <w:p w:rsidR="00CA32B2" w:rsidRDefault="00CA32B2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Inclusión Cultural en el Programa de Educación Superior en los Centros de Reclusión-PESCER</w:t>
            </w:r>
          </w:p>
          <w:p w:rsidR="00CD3AC9" w:rsidRPr="00CD3AC9" w:rsidRDefault="00CD3AC9" w:rsidP="006F2CFD">
            <w:pPr>
              <w:spacing w:after="0" w:line="240" w:lineRule="auto"/>
              <w:rPr>
                <w:rFonts w:cs="Arial"/>
                <w:color w:val="FF0000"/>
              </w:rPr>
            </w:pPr>
            <w:r w:rsidRPr="00CD3AC9">
              <w:rPr>
                <w:rFonts w:cs="Arial"/>
                <w:color w:val="FF0000"/>
              </w:rPr>
              <w:t>ESPECIFICAR EN QUE FASE SE ENCUENTRA EL PROYECTO - YESSICA</w:t>
            </w:r>
          </w:p>
        </w:tc>
        <w:tc>
          <w:tcPr>
            <w:tcW w:w="3455" w:type="dxa"/>
            <w:shd w:val="clear" w:color="auto" w:fill="auto"/>
          </w:tcPr>
          <w:p w:rsidR="00CA32B2" w:rsidRPr="006F2CFD" w:rsidRDefault="00CA32B2" w:rsidP="006F2CFD">
            <w:pPr>
              <w:spacing w:after="0" w:line="240" w:lineRule="auto"/>
              <w:rPr>
                <w:rFonts w:cs="Arial"/>
              </w:rPr>
            </w:pPr>
            <w:r w:rsidRPr="006F2CFD">
              <w:rPr>
                <w:rFonts w:cs="Arial"/>
              </w:rPr>
              <w:t>Contribuir al fortalecimiento de los procesos culturales de los internos en el sistema penitenciario de la Ciudad de México</w:t>
            </w:r>
          </w:p>
          <w:p w:rsidR="00CA32B2" w:rsidRPr="006F2CFD" w:rsidRDefault="00CA32B2" w:rsidP="006F2CF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CA32B2" w:rsidRPr="00CD3AC9" w:rsidRDefault="00CD3AC9" w:rsidP="00CD3AC9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  <w:color w:val="FF0000"/>
              </w:rPr>
            </w:pPr>
            <w:r w:rsidRPr="00CD3AC9">
              <w:rPr>
                <w:rFonts w:cs="Arial"/>
                <w:color w:val="FF0000"/>
              </w:rPr>
              <w:t>Subdirección de programas especiales</w:t>
            </w:r>
          </w:p>
          <w:p w:rsidR="0006361E" w:rsidRPr="00CD3AC9" w:rsidRDefault="0006361E" w:rsidP="006F2CF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06361E" w:rsidRPr="006F2CFD" w:rsidRDefault="0006361E" w:rsidP="006F2CF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751" w:type="dxa"/>
            <w:shd w:val="clear" w:color="auto" w:fill="auto"/>
          </w:tcPr>
          <w:p w:rsidR="00CA32B2" w:rsidRPr="00CD3AC9" w:rsidRDefault="00CA32B2" w:rsidP="00CD3AC9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</w:rPr>
            </w:pPr>
          </w:p>
        </w:tc>
      </w:tr>
    </w:tbl>
    <w:p w:rsidR="004B5AFC" w:rsidRDefault="004B5AFC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A40757" w:rsidRDefault="001567DD" w:rsidP="00A40757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Mucho de los proyectos planteados de la Coordinación de Servicio Estudiantil requieren continuidad para crear comunidad en conjunto.</w:t>
      </w:r>
    </w:p>
    <w:p w:rsidR="00AB3E8A" w:rsidRDefault="00AB3E8A" w:rsidP="00A40757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AB3E8A" w:rsidRDefault="00AB3E8A" w:rsidP="00A40757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sectPr w:rsidR="00AB3E8A" w:rsidSect="00CB00D2">
      <w:headerReference w:type="default" r:id="rId7"/>
      <w:pgSz w:w="12240" w:h="15840"/>
      <w:pgMar w:top="2268" w:right="141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D1" w:rsidRDefault="00142FD1" w:rsidP="005875C8">
      <w:pPr>
        <w:spacing w:after="0" w:line="240" w:lineRule="auto"/>
      </w:pPr>
      <w:r>
        <w:separator/>
      </w:r>
    </w:p>
  </w:endnote>
  <w:endnote w:type="continuationSeparator" w:id="0">
    <w:p w:rsidR="00142FD1" w:rsidRDefault="00142FD1" w:rsidP="005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D1" w:rsidRDefault="00142FD1" w:rsidP="005875C8">
      <w:pPr>
        <w:spacing w:after="0" w:line="240" w:lineRule="auto"/>
      </w:pPr>
      <w:r>
        <w:separator/>
      </w:r>
    </w:p>
  </w:footnote>
  <w:footnote w:type="continuationSeparator" w:id="0">
    <w:p w:rsidR="00142FD1" w:rsidRDefault="00142FD1" w:rsidP="0058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C9" w:rsidRDefault="001567DD" w:rsidP="009504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2957195</wp:posOffset>
          </wp:positionH>
          <wp:positionV relativeFrom="paragraph">
            <wp:posOffset>-92710</wp:posOffset>
          </wp:positionV>
          <wp:extent cx="3214370" cy="807085"/>
          <wp:effectExtent l="0" t="0" r="0" b="0"/>
          <wp:wrapSquare wrapText="bothSides"/>
          <wp:docPr id="2" name="Imagen 2" descr="Description: logo sccd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tion: logo sccdm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37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sz w:val="28"/>
        <w:szCs w:val="24"/>
        <w:lang w:eastAsia="es-MX"/>
      </w:rPr>
      <w:drawing>
        <wp:inline distT="0" distB="0" distL="0" distR="0">
          <wp:extent cx="1171575" cy="762000"/>
          <wp:effectExtent l="19050" t="0" r="9525" b="0"/>
          <wp:docPr id="1" name="Imagen 1" descr="Description: logo ua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tion: logo ua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C9" w:rsidRPr="005875C8" w:rsidRDefault="00CD3AC9" w:rsidP="009504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D68"/>
    <w:multiLevelType w:val="hybridMultilevel"/>
    <w:tmpl w:val="6C2895A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57D15"/>
    <w:multiLevelType w:val="hybridMultilevel"/>
    <w:tmpl w:val="A6F8FD4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83860"/>
    <w:multiLevelType w:val="hybridMultilevel"/>
    <w:tmpl w:val="010C64F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9125D"/>
    <w:multiLevelType w:val="hybridMultilevel"/>
    <w:tmpl w:val="4674420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907C6"/>
    <w:multiLevelType w:val="hybridMultilevel"/>
    <w:tmpl w:val="7342269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A69B4"/>
    <w:multiLevelType w:val="hybridMultilevel"/>
    <w:tmpl w:val="3702B22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0103F"/>
    <w:multiLevelType w:val="hybridMultilevel"/>
    <w:tmpl w:val="ED46574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43DB6"/>
    <w:multiLevelType w:val="hybridMultilevel"/>
    <w:tmpl w:val="F722905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5B79F9"/>
    <w:multiLevelType w:val="hybridMultilevel"/>
    <w:tmpl w:val="141CEA0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4245F"/>
    <w:multiLevelType w:val="hybridMultilevel"/>
    <w:tmpl w:val="FD02032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5C8"/>
    <w:rsid w:val="00025ECD"/>
    <w:rsid w:val="00026315"/>
    <w:rsid w:val="000338CE"/>
    <w:rsid w:val="00051E02"/>
    <w:rsid w:val="0006361E"/>
    <w:rsid w:val="000D78DA"/>
    <w:rsid w:val="00110A11"/>
    <w:rsid w:val="0013450A"/>
    <w:rsid w:val="00142FD1"/>
    <w:rsid w:val="00144416"/>
    <w:rsid w:val="001567DD"/>
    <w:rsid w:val="001C4871"/>
    <w:rsid w:val="001C55E1"/>
    <w:rsid w:val="00224F9B"/>
    <w:rsid w:val="00230BA2"/>
    <w:rsid w:val="002B3C81"/>
    <w:rsid w:val="002F614F"/>
    <w:rsid w:val="0036509A"/>
    <w:rsid w:val="0036685F"/>
    <w:rsid w:val="003B36FB"/>
    <w:rsid w:val="003C37CE"/>
    <w:rsid w:val="003C7456"/>
    <w:rsid w:val="003D0773"/>
    <w:rsid w:val="00421741"/>
    <w:rsid w:val="00427D19"/>
    <w:rsid w:val="0047258A"/>
    <w:rsid w:val="004B5AFC"/>
    <w:rsid w:val="0051457B"/>
    <w:rsid w:val="005178F1"/>
    <w:rsid w:val="00531A3A"/>
    <w:rsid w:val="00532A90"/>
    <w:rsid w:val="005537A1"/>
    <w:rsid w:val="0057529D"/>
    <w:rsid w:val="005875C8"/>
    <w:rsid w:val="005E5C58"/>
    <w:rsid w:val="005F63D8"/>
    <w:rsid w:val="005F752B"/>
    <w:rsid w:val="00605A89"/>
    <w:rsid w:val="00660165"/>
    <w:rsid w:val="00686556"/>
    <w:rsid w:val="006D5614"/>
    <w:rsid w:val="006F2CFD"/>
    <w:rsid w:val="006F5378"/>
    <w:rsid w:val="00743000"/>
    <w:rsid w:val="00757FE7"/>
    <w:rsid w:val="00791CB7"/>
    <w:rsid w:val="007C0193"/>
    <w:rsid w:val="00802072"/>
    <w:rsid w:val="00814613"/>
    <w:rsid w:val="00851144"/>
    <w:rsid w:val="0088364D"/>
    <w:rsid w:val="008914C2"/>
    <w:rsid w:val="00891740"/>
    <w:rsid w:val="00896C5B"/>
    <w:rsid w:val="0091232A"/>
    <w:rsid w:val="00917913"/>
    <w:rsid w:val="00935C9C"/>
    <w:rsid w:val="0095043A"/>
    <w:rsid w:val="0098681A"/>
    <w:rsid w:val="009C7638"/>
    <w:rsid w:val="00A006AB"/>
    <w:rsid w:val="00A40757"/>
    <w:rsid w:val="00AB3E8A"/>
    <w:rsid w:val="00AB7D08"/>
    <w:rsid w:val="00AB7D9F"/>
    <w:rsid w:val="00B404A3"/>
    <w:rsid w:val="00B8547D"/>
    <w:rsid w:val="00C0228D"/>
    <w:rsid w:val="00C20688"/>
    <w:rsid w:val="00C53365"/>
    <w:rsid w:val="00C805E3"/>
    <w:rsid w:val="00C838B7"/>
    <w:rsid w:val="00CA32B2"/>
    <w:rsid w:val="00CB00D2"/>
    <w:rsid w:val="00CD3AC9"/>
    <w:rsid w:val="00D0359B"/>
    <w:rsid w:val="00D20905"/>
    <w:rsid w:val="00D573AF"/>
    <w:rsid w:val="00D74496"/>
    <w:rsid w:val="00DA6FDE"/>
    <w:rsid w:val="00DB7646"/>
    <w:rsid w:val="00DC117E"/>
    <w:rsid w:val="00E803D6"/>
    <w:rsid w:val="00EB2703"/>
    <w:rsid w:val="00ED3566"/>
    <w:rsid w:val="00F30AAC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12EC75-6820-414C-8A3B-9C290801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03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875C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87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875C8"/>
    <w:rPr>
      <w:lang w:val="es-MX"/>
    </w:rPr>
  </w:style>
  <w:style w:type="table" w:styleId="Tablaconcuadrcula">
    <w:name w:val="Table Grid"/>
    <w:basedOn w:val="Tablanormal"/>
    <w:uiPriority w:val="39"/>
    <w:rsid w:val="0014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5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2C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F2CFD"/>
    <w:rPr>
      <w:rFonts w:ascii="Lucida Grande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1395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</dc:creator>
  <cp:keywords/>
  <dc:description/>
  <cp:lastModifiedBy>Rámon Lepez Vela</cp:lastModifiedBy>
  <cp:revision>5</cp:revision>
  <cp:lastPrinted>2016-06-02T15:04:00Z</cp:lastPrinted>
  <dcterms:created xsi:type="dcterms:W3CDTF">2016-05-17T17:48:00Z</dcterms:created>
  <dcterms:modified xsi:type="dcterms:W3CDTF">2016-06-02T17:15:00Z</dcterms:modified>
</cp:coreProperties>
</file>