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716" w:type="dxa"/>
        <w:tblLook w:val="04A0" w:firstRow="1" w:lastRow="0" w:firstColumn="1" w:lastColumn="0" w:noHBand="0" w:noVBand="1"/>
      </w:tblPr>
      <w:tblGrid>
        <w:gridCol w:w="2376"/>
        <w:gridCol w:w="11340"/>
      </w:tblGrid>
      <w:tr w:rsidR="00835739" w:rsidTr="00835739">
        <w:tc>
          <w:tcPr>
            <w:tcW w:w="2376" w:type="dxa"/>
          </w:tcPr>
          <w:p w:rsidR="00835739" w:rsidRPr="00835739" w:rsidRDefault="00835739" w:rsidP="00835739">
            <w:pPr>
              <w:jc w:val="center"/>
              <w:rPr>
                <w:b/>
              </w:rPr>
            </w:pPr>
            <w:bookmarkStart w:id="0" w:name="_GoBack"/>
            <w:bookmarkEnd w:id="0"/>
            <w:r w:rsidRPr="00835739">
              <w:rPr>
                <w:b/>
              </w:rPr>
              <w:t>Rubros</w:t>
            </w:r>
          </w:p>
        </w:tc>
        <w:tc>
          <w:tcPr>
            <w:tcW w:w="11340" w:type="dxa"/>
          </w:tcPr>
          <w:p w:rsidR="00835739" w:rsidRPr="00835739" w:rsidRDefault="00835739">
            <w:pPr>
              <w:rPr>
                <w:b/>
              </w:rPr>
            </w:pPr>
            <w:r w:rsidRPr="00835739">
              <w:rPr>
                <w:b/>
              </w:rPr>
              <w:t xml:space="preserve">Descripción </w:t>
            </w:r>
          </w:p>
        </w:tc>
      </w:tr>
      <w:tr w:rsidR="00835739" w:rsidTr="00835739">
        <w:tc>
          <w:tcPr>
            <w:tcW w:w="2376" w:type="dxa"/>
          </w:tcPr>
          <w:p w:rsidR="00835739" w:rsidRPr="00835739" w:rsidRDefault="00835739" w:rsidP="00835739">
            <w:pPr>
              <w:jc w:val="center"/>
              <w:rPr>
                <w:b/>
              </w:rPr>
            </w:pPr>
            <w:r w:rsidRPr="00835739">
              <w:rPr>
                <w:b/>
              </w:rPr>
              <w:t>Fecha de Firma</w:t>
            </w:r>
          </w:p>
        </w:tc>
        <w:tc>
          <w:tcPr>
            <w:tcW w:w="11340" w:type="dxa"/>
          </w:tcPr>
          <w:p w:rsidR="00835739" w:rsidRDefault="00835739">
            <w:r>
              <w:t>20 de octubre de 2016</w:t>
            </w:r>
          </w:p>
        </w:tc>
      </w:tr>
      <w:tr w:rsidR="00835739" w:rsidTr="00835739">
        <w:tc>
          <w:tcPr>
            <w:tcW w:w="2376" w:type="dxa"/>
          </w:tcPr>
          <w:p w:rsidR="00835739" w:rsidRPr="00835739" w:rsidRDefault="00835739" w:rsidP="00835739">
            <w:pPr>
              <w:jc w:val="center"/>
              <w:rPr>
                <w:b/>
              </w:rPr>
            </w:pPr>
            <w:r w:rsidRPr="00835739">
              <w:rPr>
                <w:b/>
              </w:rPr>
              <w:t>Vigencia</w:t>
            </w:r>
          </w:p>
        </w:tc>
        <w:tc>
          <w:tcPr>
            <w:tcW w:w="11340" w:type="dxa"/>
          </w:tcPr>
          <w:p w:rsidR="00835739" w:rsidRPr="00835739" w:rsidRDefault="00835739" w:rsidP="00835739">
            <w:pPr>
              <w:jc w:val="both"/>
              <w:rPr>
                <w:rFonts w:ascii="Tahoma" w:hAnsi="Tahoma" w:cs="Tahoma"/>
                <w:sz w:val="20"/>
                <w:szCs w:val="20"/>
              </w:rPr>
            </w:pPr>
            <w:r>
              <w:t>“</w:t>
            </w:r>
            <w:r w:rsidRPr="00233CCF">
              <w:rPr>
                <w:rFonts w:ascii="Tahoma" w:hAnsi="Tahoma" w:cs="Tahoma"/>
                <w:sz w:val="20"/>
                <w:szCs w:val="20"/>
              </w:rPr>
              <w:t>La vigencia del presente convenio iniciará a partir de la fecha de su firma y concluirá el cinco de</w:t>
            </w:r>
            <w:r>
              <w:rPr>
                <w:rFonts w:ascii="Tahoma" w:hAnsi="Tahoma" w:cs="Tahoma"/>
                <w:sz w:val="20"/>
                <w:szCs w:val="20"/>
              </w:rPr>
              <w:t xml:space="preserve"> diciembre de dos mil dieciocho.”</w:t>
            </w:r>
          </w:p>
        </w:tc>
      </w:tr>
      <w:tr w:rsidR="00835739" w:rsidTr="00835739">
        <w:tc>
          <w:tcPr>
            <w:tcW w:w="2376" w:type="dxa"/>
          </w:tcPr>
          <w:p w:rsidR="00835739" w:rsidRPr="00835739" w:rsidRDefault="00835739" w:rsidP="00835739">
            <w:pPr>
              <w:jc w:val="center"/>
              <w:rPr>
                <w:b/>
              </w:rPr>
            </w:pPr>
            <w:r w:rsidRPr="00835739">
              <w:rPr>
                <w:b/>
              </w:rPr>
              <w:t>Objetivos</w:t>
            </w:r>
          </w:p>
        </w:tc>
        <w:tc>
          <w:tcPr>
            <w:tcW w:w="11340" w:type="dxa"/>
          </w:tcPr>
          <w:p w:rsidR="00835739" w:rsidRPr="00233CCF" w:rsidRDefault="00835739" w:rsidP="00835739">
            <w:pPr>
              <w:jc w:val="both"/>
              <w:rPr>
                <w:rFonts w:ascii="Tahoma" w:hAnsi="Tahoma" w:cs="Tahoma"/>
                <w:b/>
                <w:sz w:val="20"/>
                <w:szCs w:val="20"/>
              </w:rPr>
            </w:pPr>
            <w:r>
              <w:rPr>
                <w:rFonts w:ascii="Tahoma" w:hAnsi="Tahoma" w:cs="Tahoma"/>
                <w:b/>
                <w:sz w:val="20"/>
                <w:szCs w:val="20"/>
              </w:rPr>
              <w:t>“</w:t>
            </w:r>
            <w:r w:rsidRPr="00233CCF">
              <w:rPr>
                <w:rFonts w:ascii="Tahoma" w:hAnsi="Tahoma" w:cs="Tahoma"/>
                <w:b/>
                <w:sz w:val="20"/>
                <w:szCs w:val="20"/>
              </w:rPr>
              <w:t>PRIMERA. OBJETO</w:t>
            </w:r>
          </w:p>
          <w:p w:rsidR="00835739" w:rsidRPr="00233CCF" w:rsidRDefault="00835739" w:rsidP="00835739">
            <w:pPr>
              <w:jc w:val="both"/>
              <w:rPr>
                <w:rFonts w:ascii="Tahoma" w:hAnsi="Tahoma" w:cs="Tahoma"/>
                <w:sz w:val="20"/>
                <w:szCs w:val="20"/>
              </w:rPr>
            </w:pPr>
            <w:r w:rsidRPr="00233CCF">
              <w:rPr>
                <w:rFonts w:ascii="Tahoma" w:hAnsi="Tahoma" w:cs="Tahoma"/>
                <w:sz w:val="20"/>
                <w:szCs w:val="20"/>
              </w:rPr>
              <w:t xml:space="preserve">Establecer los compromisos de colaboración entre </w:t>
            </w:r>
            <w:r w:rsidRPr="00233CCF">
              <w:rPr>
                <w:rFonts w:ascii="Tahoma" w:hAnsi="Tahoma" w:cs="Tahoma"/>
                <w:b/>
                <w:sz w:val="20"/>
                <w:szCs w:val="20"/>
              </w:rPr>
              <w:t>“LAS PARTES”</w:t>
            </w:r>
            <w:r w:rsidRPr="00233CCF">
              <w:rPr>
                <w:rFonts w:ascii="Tahoma" w:hAnsi="Tahoma" w:cs="Tahoma"/>
                <w:sz w:val="20"/>
                <w:szCs w:val="20"/>
              </w:rPr>
              <w:t>, con el fin de conjugar experiencia, esfuerzos, infraestructura, planeación, diseño e instrumentación de proyectos, programas, asesorías, investigación, talleres, seminarios y tutorías, con la finalidad de impulsar y fortalecer el sector cultural (promotores, gestores, artistas, creadores, colectivos, artesanos,</w:t>
            </w:r>
            <w:r>
              <w:rPr>
                <w:rFonts w:ascii="Tahoma" w:hAnsi="Tahoma" w:cs="Tahoma"/>
                <w:sz w:val="20"/>
                <w:szCs w:val="20"/>
              </w:rPr>
              <w:t xml:space="preserve"> en la Ciudad de México, asimismo y con fundamento en el</w:t>
            </w:r>
            <w:r w:rsidRPr="00233CCF">
              <w:rPr>
                <w:rFonts w:ascii="Tahoma" w:hAnsi="Tahoma" w:cs="Tahoma"/>
                <w:sz w:val="20"/>
                <w:szCs w:val="20"/>
              </w:rPr>
              <w:t xml:space="preserve"> artículo 4, fracción II de la Ley</w:t>
            </w:r>
            <w:r>
              <w:rPr>
                <w:rFonts w:ascii="Tahoma" w:hAnsi="Tahoma" w:cs="Tahoma"/>
                <w:sz w:val="20"/>
                <w:szCs w:val="20"/>
              </w:rPr>
              <w:t xml:space="preserve"> del Consejo Económico y Social de la Ciudad de México</w:t>
            </w:r>
            <w:r w:rsidRPr="00233CCF">
              <w:rPr>
                <w:rFonts w:ascii="Tahoma" w:hAnsi="Tahoma" w:cs="Tahoma"/>
                <w:sz w:val="20"/>
                <w:szCs w:val="20"/>
              </w:rPr>
              <w:t xml:space="preserve"> mencionada el </w:t>
            </w:r>
            <w:r w:rsidRPr="00233CCF">
              <w:rPr>
                <w:rFonts w:ascii="Tahoma" w:hAnsi="Tahoma" w:cs="Tahoma"/>
                <w:b/>
                <w:sz w:val="20"/>
                <w:szCs w:val="20"/>
              </w:rPr>
              <w:t>“CES”</w:t>
            </w:r>
            <w:r w:rsidRPr="00233CCF">
              <w:rPr>
                <w:rFonts w:ascii="Tahoma" w:hAnsi="Tahoma" w:cs="Tahoma"/>
                <w:sz w:val="20"/>
                <w:szCs w:val="20"/>
              </w:rPr>
              <w:t xml:space="preserve"> </w:t>
            </w:r>
            <w:r>
              <w:rPr>
                <w:rFonts w:ascii="Tahoma" w:hAnsi="Tahoma" w:cs="Tahoma"/>
                <w:sz w:val="20"/>
                <w:szCs w:val="20"/>
              </w:rPr>
              <w:t>podrá p</w:t>
            </w:r>
            <w:r w:rsidRPr="00233CCF">
              <w:rPr>
                <w:rFonts w:ascii="Tahoma" w:hAnsi="Tahoma" w:cs="Tahoma"/>
                <w:sz w:val="20"/>
                <w:szCs w:val="20"/>
              </w:rPr>
              <w:t>romover la participación de los sectores económico, laboral, académico, cultural y social en la formulación de la estrategia de desarrollo económico y social de la Ciudad</w:t>
            </w:r>
            <w:r>
              <w:rPr>
                <w:rFonts w:ascii="Tahoma" w:hAnsi="Tahoma" w:cs="Tahoma"/>
                <w:sz w:val="20"/>
                <w:szCs w:val="20"/>
              </w:rPr>
              <w:t>, realizar estudios, reportes y análisis en materia de evolución de la situación y la política económica de la Ciudad, y otros temas de interese estratégico, realizar recomendaciones para la elaboración del paquete económico anual que se presenta a la Asamblea para su aprobación y</w:t>
            </w:r>
            <w:r w:rsidRPr="00233CCF">
              <w:rPr>
                <w:rFonts w:ascii="Tahoma" w:hAnsi="Tahoma" w:cs="Tahoma"/>
                <w:sz w:val="20"/>
                <w:szCs w:val="20"/>
              </w:rPr>
              <w:t xml:space="preserve"> cuyas particularidades se definirán en convenios específicos de colaboración que celebren entre sí </w:t>
            </w:r>
            <w:r w:rsidRPr="00233CCF">
              <w:rPr>
                <w:rFonts w:ascii="Tahoma" w:hAnsi="Tahoma" w:cs="Tahoma"/>
                <w:b/>
                <w:sz w:val="20"/>
                <w:szCs w:val="20"/>
              </w:rPr>
              <w:t>“LAS PARTES”</w:t>
            </w:r>
            <w:r w:rsidRPr="00233CCF">
              <w:rPr>
                <w:rFonts w:ascii="Tahoma" w:hAnsi="Tahoma" w:cs="Tahoma"/>
                <w:sz w:val="20"/>
                <w:szCs w:val="20"/>
              </w:rPr>
              <w:t>.</w:t>
            </w:r>
          </w:p>
          <w:p w:rsidR="00835739" w:rsidRPr="003A7954" w:rsidRDefault="00835739" w:rsidP="00835739">
            <w:pPr>
              <w:tabs>
                <w:tab w:val="left" w:pos="2464"/>
              </w:tabs>
              <w:jc w:val="both"/>
              <w:rPr>
                <w:rFonts w:ascii="Tahoma" w:hAnsi="Tahoma" w:cs="Tahoma"/>
                <w:sz w:val="20"/>
                <w:szCs w:val="20"/>
              </w:rPr>
            </w:pPr>
            <w:r>
              <w:rPr>
                <w:rFonts w:ascii="Tahoma" w:hAnsi="Tahoma" w:cs="Tahoma"/>
                <w:sz w:val="20"/>
                <w:szCs w:val="20"/>
              </w:rPr>
              <w:tab/>
            </w:r>
          </w:p>
          <w:p w:rsidR="00835739" w:rsidRPr="00233CCF" w:rsidRDefault="00835739" w:rsidP="00835739">
            <w:pPr>
              <w:jc w:val="both"/>
              <w:rPr>
                <w:rFonts w:ascii="Tahoma" w:hAnsi="Tahoma" w:cs="Tahoma"/>
                <w:b/>
                <w:sz w:val="20"/>
                <w:szCs w:val="20"/>
              </w:rPr>
            </w:pPr>
            <w:r w:rsidRPr="00233CCF">
              <w:rPr>
                <w:rFonts w:ascii="Tahoma" w:hAnsi="Tahoma" w:cs="Tahoma"/>
                <w:b/>
                <w:sz w:val="20"/>
                <w:szCs w:val="20"/>
              </w:rPr>
              <w:t>SEGUNDA. COMPROMISOS DE “LAS PARTES”</w:t>
            </w:r>
          </w:p>
          <w:p w:rsidR="00835739" w:rsidRPr="00835739" w:rsidRDefault="00835739" w:rsidP="00835739">
            <w:pPr>
              <w:numPr>
                <w:ilvl w:val="0"/>
                <w:numId w:val="1"/>
              </w:numPr>
              <w:spacing w:after="180"/>
              <w:ind w:left="567" w:hanging="567"/>
              <w:jc w:val="both"/>
              <w:rPr>
                <w:rFonts w:ascii="Tahoma" w:hAnsi="Tahoma" w:cs="Tahoma"/>
                <w:color w:val="000000"/>
                <w:sz w:val="20"/>
                <w:szCs w:val="20"/>
              </w:rPr>
            </w:pPr>
            <w:r w:rsidRPr="00233CCF">
              <w:rPr>
                <w:rFonts w:ascii="Tahoma" w:hAnsi="Tahoma" w:cs="Tahoma"/>
                <w:sz w:val="20"/>
                <w:szCs w:val="20"/>
              </w:rPr>
              <w:t>Analizar y determinar la planeación, diseño e instrumentación de proyectos, programas, asesorías, investigación, talleres, seminarios, tutorías, con la finalidad de impulsar y fortalecer los sectores culturales (promotores, gestores, artistas, creadores, colectivos, artesanos</w:t>
            </w:r>
          </w:p>
          <w:p w:rsidR="00835739" w:rsidRPr="00233CCF" w:rsidRDefault="00835739" w:rsidP="00835739">
            <w:pPr>
              <w:spacing w:after="180"/>
              <w:rPr>
                <w:rFonts w:ascii="Tahoma" w:hAnsi="Tahoma" w:cs="Tahoma"/>
                <w:color w:val="000000"/>
                <w:sz w:val="20"/>
                <w:szCs w:val="20"/>
              </w:rPr>
            </w:pPr>
            <w:r>
              <w:rPr>
                <w:rFonts w:ascii="Arial" w:hAnsi="Arial" w:cs="Arial"/>
                <w:b/>
              </w:rPr>
              <w:t xml:space="preserve">      CES/CVN/003/16</w:t>
            </w:r>
          </w:p>
          <w:p w:rsidR="00835739" w:rsidRPr="00405A0F" w:rsidRDefault="00835739" w:rsidP="00835739">
            <w:pPr>
              <w:pStyle w:val="Prrafodelista"/>
              <w:widowControl w:val="0"/>
              <w:numPr>
                <w:ilvl w:val="0"/>
                <w:numId w:val="1"/>
              </w:numPr>
              <w:autoSpaceDE w:val="0"/>
              <w:autoSpaceDN w:val="0"/>
              <w:adjustRightInd w:val="0"/>
              <w:spacing w:after="180"/>
              <w:ind w:left="567" w:hanging="567"/>
              <w:jc w:val="both"/>
              <w:rPr>
                <w:rFonts w:ascii="Tahoma" w:hAnsi="Tahoma" w:cs="Tahoma"/>
                <w:sz w:val="20"/>
                <w:szCs w:val="20"/>
              </w:rPr>
            </w:pPr>
            <w:r w:rsidRPr="00233CCF">
              <w:rPr>
                <w:rFonts w:ascii="Tahoma" w:hAnsi="Tahoma" w:cs="Tahoma"/>
                <w:sz w:val="20"/>
                <w:szCs w:val="20"/>
              </w:rPr>
              <w:t xml:space="preserve">Impulsar la formulación de políticas públicas y culturales que contribuyan al desarrollo económico de la Ciudad de México desde la cultura como generadora de riqueza y bienestar social. </w:t>
            </w:r>
          </w:p>
          <w:p w:rsidR="00835739" w:rsidRPr="00233CCF" w:rsidRDefault="00835739" w:rsidP="00835739">
            <w:pPr>
              <w:numPr>
                <w:ilvl w:val="0"/>
                <w:numId w:val="1"/>
              </w:numPr>
              <w:spacing w:after="180"/>
              <w:ind w:left="567" w:hanging="567"/>
              <w:jc w:val="both"/>
              <w:rPr>
                <w:rFonts w:ascii="Tahoma" w:hAnsi="Tahoma" w:cs="Tahoma"/>
                <w:color w:val="000000"/>
                <w:sz w:val="20"/>
                <w:szCs w:val="20"/>
              </w:rPr>
            </w:pPr>
            <w:r w:rsidRPr="00233CCF">
              <w:rPr>
                <w:rFonts w:ascii="Tahoma" w:hAnsi="Tahoma" w:cs="Tahoma"/>
                <w:sz w:val="20"/>
                <w:szCs w:val="20"/>
              </w:rPr>
              <w:t>Realizar las acciones necesarias para el adecuado cumplimiento del objeto del presente convenio.</w:t>
            </w:r>
          </w:p>
          <w:p w:rsidR="00835739" w:rsidRPr="00233CCF" w:rsidRDefault="00835739" w:rsidP="00835739">
            <w:pPr>
              <w:numPr>
                <w:ilvl w:val="0"/>
                <w:numId w:val="1"/>
              </w:numPr>
              <w:spacing w:after="180"/>
              <w:ind w:left="567" w:hanging="567"/>
              <w:jc w:val="both"/>
              <w:rPr>
                <w:rFonts w:ascii="Tahoma" w:hAnsi="Tahoma" w:cs="Tahoma"/>
                <w:sz w:val="20"/>
                <w:szCs w:val="20"/>
              </w:rPr>
            </w:pPr>
            <w:r w:rsidRPr="00233CCF">
              <w:rPr>
                <w:rFonts w:ascii="Tahoma" w:hAnsi="Tahoma" w:cs="Tahoma"/>
                <w:sz w:val="20"/>
                <w:szCs w:val="20"/>
              </w:rPr>
              <w:t>Analizar y presentar los resultados de los programas y proyectos que desarrollen de manera conjunta.</w:t>
            </w:r>
          </w:p>
          <w:p w:rsidR="00835739" w:rsidRPr="00233CCF" w:rsidRDefault="00835739" w:rsidP="00835739">
            <w:pPr>
              <w:jc w:val="both"/>
              <w:rPr>
                <w:rFonts w:ascii="Tahoma" w:hAnsi="Tahoma" w:cs="Tahoma"/>
                <w:b/>
                <w:sz w:val="20"/>
                <w:szCs w:val="20"/>
              </w:rPr>
            </w:pPr>
          </w:p>
          <w:p w:rsidR="00835739" w:rsidRPr="00233CCF" w:rsidRDefault="00835739" w:rsidP="00835739">
            <w:pPr>
              <w:jc w:val="both"/>
              <w:rPr>
                <w:rFonts w:ascii="Tahoma" w:hAnsi="Tahoma" w:cs="Tahoma"/>
                <w:b/>
                <w:sz w:val="20"/>
                <w:szCs w:val="20"/>
              </w:rPr>
            </w:pPr>
            <w:r w:rsidRPr="00233CCF">
              <w:rPr>
                <w:rFonts w:ascii="Tahoma" w:hAnsi="Tahoma" w:cs="Tahoma"/>
                <w:b/>
                <w:sz w:val="20"/>
                <w:szCs w:val="20"/>
              </w:rPr>
              <w:t>TERCERA. DE LOS CONVENIOS ESPECÍFICOS</w:t>
            </w:r>
          </w:p>
          <w:p w:rsidR="00835739" w:rsidRPr="00233CCF" w:rsidRDefault="00835739" w:rsidP="00835739">
            <w:pPr>
              <w:jc w:val="both"/>
              <w:rPr>
                <w:rFonts w:ascii="Tahoma" w:hAnsi="Tahoma" w:cs="Tahoma"/>
                <w:b/>
                <w:sz w:val="20"/>
                <w:szCs w:val="20"/>
              </w:rPr>
            </w:pPr>
            <w:r w:rsidRPr="00233CCF">
              <w:rPr>
                <w:rFonts w:ascii="Tahoma" w:hAnsi="Tahoma" w:cs="Tahoma"/>
                <w:sz w:val="20"/>
                <w:szCs w:val="20"/>
              </w:rPr>
              <w:t xml:space="preserve">Cada uno de los convenios específicos de colaboración derivados del presente convenio, deberán contar con el visto bueno de las áreas de seguimiento que se señalen en los mismos, por lo menos quince días hábiles antes de su firma. </w:t>
            </w:r>
          </w:p>
          <w:p w:rsidR="00835739" w:rsidRPr="00233CCF" w:rsidRDefault="00835739" w:rsidP="00835739">
            <w:pPr>
              <w:jc w:val="both"/>
              <w:rPr>
                <w:rFonts w:ascii="Tahoma" w:hAnsi="Tahoma" w:cs="Tahoma"/>
                <w:sz w:val="20"/>
                <w:szCs w:val="20"/>
              </w:rPr>
            </w:pPr>
            <w:r w:rsidRPr="00233CCF">
              <w:rPr>
                <w:rFonts w:ascii="Tahoma" w:hAnsi="Tahoma" w:cs="Tahoma"/>
                <w:sz w:val="20"/>
                <w:szCs w:val="20"/>
              </w:rPr>
              <w:t xml:space="preserve">Los convenios específicos de colaboración formarán parte del presente convenio y deberán ser suscritos por quienes cuenten </w:t>
            </w:r>
            <w:r w:rsidRPr="00233CCF">
              <w:rPr>
                <w:rFonts w:ascii="Tahoma" w:hAnsi="Tahoma" w:cs="Tahoma"/>
                <w:sz w:val="20"/>
                <w:szCs w:val="20"/>
              </w:rPr>
              <w:lastRenderedPageBreak/>
              <w:t xml:space="preserve">con las facultades suficientes para comprometer a </w:t>
            </w:r>
            <w:r w:rsidRPr="00233CCF">
              <w:rPr>
                <w:rFonts w:ascii="Tahoma" w:hAnsi="Tahoma" w:cs="Tahoma"/>
                <w:b/>
                <w:sz w:val="20"/>
                <w:szCs w:val="20"/>
              </w:rPr>
              <w:t>“LAS PARTES”</w:t>
            </w:r>
            <w:r w:rsidRPr="00233CCF">
              <w:rPr>
                <w:rFonts w:ascii="Tahoma" w:hAnsi="Tahoma" w:cs="Tahoma"/>
                <w:sz w:val="20"/>
                <w:szCs w:val="20"/>
              </w:rPr>
              <w:t xml:space="preserve"> y deberán contener un Anexo Técnico de cada proyecto</w:t>
            </w:r>
            <w:r>
              <w:rPr>
                <w:rFonts w:ascii="Tahoma" w:hAnsi="Tahoma" w:cs="Tahoma"/>
                <w:sz w:val="20"/>
                <w:szCs w:val="20"/>
              </w:rPr>
              <w:t xml:space="preserve"> en los términos que la normativa de “</w:t>
            </w:r>
            <w:r w:rsidRPr="00B85B01">
              <w:rPr>
                <w:rFonts w:ascii="Tahoma" w:hAnsi="Tahoma" w:cs="Tahoma"/>
                <w:b/>
                <w:sz w:val="20"/>
                <w:szCs w:val="20"/>
              </w:rPr>
              <w:t>EL CES</w:t>
            </w:r>
            <w:r>
              <w:rPr>
                <w:rFonts w:ascii="Tahoma" w:hAnsi="Tahoma" w:cs="Tahoma"/>
                <w:sz w:val="20"/>
                <w:szCs w:val="20"/>
              </w:rPr>
              <w:t>” y “</w:t>
            </w:r>
            <w:r w:rsidRPr="00B85B01">
              <w:rPr>
                <w:rFonts w:ascii="Tahoma" w:hAnsi="Tahoma" w:cs="Tahoma"/>
                <w:b/>
                <w:sz w:val="20"/>
                <w:szCs w:val="20"/>
              </w:rPr>
              <w:t>EL FES</w:t>
            </w:r>
            <w:r>
              <w:rPr>
                <w:rFonts w:ascii="Tahoma" w:hAnsi="Tahoma" w:cs="Tahoma"/>
                <w:sz w:val="20"/>
                <w:szCs w:val="20"/>
              </w:rPr>
              <w:t>” señalen.”</w:t>
            </w:r>
          </w:p>
          <w:p w:rsidR="00835739" w:rsidRDefault="00835739"/>
        </w:tc>
      </w:tr>
      <w:tr w:rsidR="00835739" w:rsidTr="00835739">
        <w:tc>
          <w:tcPr>
            <w:tcW w:w="2376" w:type="dxa"/>
          </w:tcPr>
          <w:p w:rsidR="00835739" w:rsidRPr="00835739" w:rsidRDefault="00835739" w:rsidP="00835739">
            <w:pPr>
              <w:jc w:val="center"/>
              <w:rPr>
                <w:b/>
              </w:rPr>
            </w:pPr>
            <w:r w:rsidRPr="00835739">
              <w:rPr>
                <w:b/>
              </w:rPr>
              <w:lastRenderedPageBreak/>
              <w:t>Firmantes</w:t>
            </w:r>
          </w:p>
        </w:tc>
        <w:tc>
          <w:tcPr>
            <w:tcW w:w="11340" w:type="dxa"/>
          </w:tcPr>
          <w:p w:rsidR="00835739" w:rsidRDefault="00835739" w:rsidP="00835739">
            <w:pPr>
              <w:pStyle w:val="Prrafodelista"/>
              <w:numPr>
                <w:ilvl w:val="0"/>
                <w:numId w:val="2"/>
              </w:numPr>
            </w:pPr>
            <w:r>
              <w:t>EDUARDO VÁZQUEZ MARTÍN</w:t>
            </w:r>
          </w:p>
          <w:p w:rsidR="00835739" w:rsidRDefault="00835739" w:rsidP="00835739">
            <w:r>
              <w:t>SECRETARIO DE CULTURA DE LA CIUDAD DE MÉXICO</w:t>
            </w:r>
            <w:r>
              <w:tab/>
            </w:r>
            <w:r>
              <w:tab/>
            </w:r>
          </w:p>
          <w:p w:rsidR="00835739" w:rsidRDefault="00835739" w:rsidP="00835739"/>
          <w:p w:rsidR="00835739" w:rsidRDefault="00835739" w:rsidP="00835739">
            <w:pPr>
              <w:pStyle w:val="Prrafodelista"/>
              <w:numPr>
                <w:ilvl w:val="0"/>
                <w:numId w:val="2"/>
              </w:numPr>
            </w:pPr>
            <w:r>
              <w:t>EDUARDO VEGA LÓPEZ</w:t>
            </w:r>
          </w:p>
          <w:p w:rsidR="00835739" w:rsidRDefault="00835739" w:rsidP="00835739">
            <w:r>
              <w:t>PRESIDENTE EJECUTIVO DEL CONSEJO ECONÓMICO Y SOCIAL DE LA CIUDAD DE MÉXICO</w:t>
            </w:r>
          </w:p>
          <w:p w:rsidR="00835739" w:rsidRDefault="00835739" w:rsidP="00835739"/>
          <w:p w:rsidR="00835739" w:rsidRDefault="00835739" w:rsidP="00835739">
            <w:pPr>
              <w:pStyle w:val="Prrafodelista"/>
              <w:numPr>
                <w:ilvl w:val="0"/>
                <w:numId w:val="2"/>
              </w:numPr>
            </w:pPr>
            <w:r>
              <w:t>MARÍA CORTINA ICAZA</w:t>
            </w:r>
          </w:p>
          <w:p w:rsidR="00835739" w:rsidRDefault="00835739" w:rsidP="00835739">
            <w:r>
              <w:t>COORDINADORA INTERINSTITUCIONAL</w:t>
            </w:r>
          </w:p>
          <w:p w:rsidR="00835739" w:rsidRDefault="00835739" w:rsidP="00835739"/>
          <w:p w:rsidR="00835739" w:rsidRDefault="00835739" w:rsidP="00835739">
            <w:pPr>
              <w:pStyle w:val="Prrafodelista"/>
              <w:numPr>
                <w:ilvl w:val="0"/>
                <w:numId w:val="2"/>
              </w:numPr>
            </w:pPr>
            <w:r>
              <w:t>ALFREDO CORDERO ESQUIVEL</w:t>
            </w:r>
          </w:p>
          <w:p w:rsidR="00835739" w:rsidRDefault="00835739" w:rsidP="00835739">
            <w:r>
              <w:t>DIRECTOR GENERAL DEL FONDO PARA EL DESARROLLO ECONÓMICO Y SOCIAL DE LA CIUDAD DE MÉXICO</w:t>
            </w:r>
          </w:p>
          <w:p w:rsidR="00835739" w:rsidRDefault="00835739" w:rsidP="00835739"/>
          <w:p w:rsidR="00835739" w:rsidRDefault="00835739" w:rsidP="00835739">
            <w:pPr>
              <w:pStyle w:val="Prrafodelista"/>
              <w:numPr>
                <w:ilvl w:val="0"/>
                <w:numId w:val="2"/>
              </w:numPr>
            </w:pPr>
            <w:r>
              <w:t>DÉBORAH CHENILLO ALAZRAKI</w:t>
            </w:r>
          </w:p>
          <w:p w:rsidR="00835739" w:rsidRDefault="00835739" w:rsidP="00835739">
            <w:r>
              <w:t>COORDINADORA DE VINCULACIÓN CULTURAL COMUNITARIA</w:t>
            </w:r>
            <w:r>
              <w:tab/>
            </w:r>
            <w:r>
              <w:tab/>
            </w:r>
          </w:p>
          <w:p w:rsidR="00835739" w:rsidRDefault="00835739"/>
        </w:tc>
      </w:tr>
      <w:tr w:rsidR="00835739" w:rsidTr="00835739">
        <w:tc>
          <w:tcPr>
            <w:tcW w:w="2376" w:type="dxa"/>
          </w:tcPr>
          <w:p w:rsidR="00835739" w:rsidRPr="00835739" w:rsidRDefault="00835739" w:rsidP="00835739">
            <w:pPr>
              <w:jc w:val="center"/>
              <w:rPr>
                <w:b/>
              </w:rPr>
            </w:pPr>
            <w:r w:rsidRPr="00835739">
              <w:rPr>
                <w:b/>
              </w:rPr>
              <w:t>Observadores</w:t>
            </w:r>
          </w:p>
        </w:tc>
        <w:tc>
          <w:tcPr>
            <w:tcW w:w="11340" w:type="dxa"/>
          </w:tcPr>
          <w:p w:rsidR="00835739" w:rsidRPr="00233CCF" w:rsidRDefault="00835739" w:rsidP="00835739">
            <w:pPr>
              <w:jc w:val="both"/>
              <w:rPr>
                <w:rFonts w:ascii="Tahoma" w:eastAsia="Calibri" w:hAnsi="Tahoma" w:cs="Tahoma"/>
                <w:b/>
                <w:sz w:val="20"/>
                <w:szCs w:val="20"/>
              </w:rPr>
            </w:pPr>
            <w:r>
              <w:t>“</w:t>
            </w:r>
            <w:r w:rsidRPr="00233CCF">
              <w:rPr>
                <w:rFonts w:ascii="Tahoma" w:eastAsia="Calibri" w:hAnsi="Tahoma" w:cs="Tahoma"/>
                <w:b/>
                <w:sz w:val="20"/>
                <w:szCs w:val="20"/>
              </w:rPr>
              <w:t>CUARTA. INSTANCIA DE SEGUIMIENTO</w:t>
            </w:r>
            <w:r w:rsidRPr="00233CCF">
              <w:rPr>
                <w:rFonts w:ascii="Tahoma" w:eastAsia="Calibri" w:hAnsi="Tahoma" w:cs="Tahoma"/>
                <w:sz w:val="20"/>
                <w:szCs w:val="20"/>
              </w:rPr>
              <w:t>.</w:t>
            </w:r>
          </w:p>
          <w:p w:rsidR="00835739" w:rsidRDefault="00835739" w:rsidP="00835739">
            <w:pPr>
              <w:jc w:val="both"/>
              <w:rPr>
                <w:rFonts w:ascii="Tahoma" w:eastAsia="Calibri" w:hAnsi="Tahoma" w:cs="Tahoma"/>
                <w:sz w:val="20"/>
                <w:szCs w:val="20"/>
              </w:rPr>
            </w:pPr>
            <w:r w:rsidRPr="00233CCF">
              <w:rPr>
                <w:rFonts w:ascii="Tahoma" w:eastAsia="Calibri" w:hAnsi="Tahoma" w:cs="Tahoma"/>
                <w:b/>
                <w:sz w:val="20"/>
                <w:szCs w:val="20"/>
              </w:rPr>
              <w:t>“LA SECRETARÍA”</w:t>
            </w:r>
            <w:r w:rsidRPr="00233CCF">
              <w:rPr>
                <w:rFonts w:ascii="Tahoma" w:eastAsia="Calibri" w:hAnsi="Tahoma" w:cs="Tahoma"/>
                <w:sz w:val="20"/>
                <w:szCs w:val="20"/>
              </w:rPr>
              <w:t xml:space="preserve"> designa a la </w:t>
            </w:r>
            <w:r w:rsidRPr="00233CCF">
              <w:rPr>
                <w:rFonts w:ascii="Tahoma" w:hAnsi="Tahoma" w:cs="Tahoma"/>
                <w:sz w:val="20"/>
                <w:szCs w:val="20"/>
              </w:rPr>
              <w:t>Coordinación Interinstitucional</w:t>
            </w:r>
            <w:r w:rsidRPr="00233CCF">
              <w:rPr>
                <w:rFonts w:ascii="Tahoma" w:eastAsia="Calibri" w:hAnsi="Tahoma" w:cs="Tahoma"/>
                <w:sz w:val="20"/>
                <w:szCs w:val="20"/>
              </w:rPr>
              <w:t>, como instancia responsable del seguimiento de los</w:t>
            </w:r>
            <w:r>
              <w:rPr>
                <w:rFonts w:ascii="Tahoma" w:eastAsia="Calibri" w:hAnsi="Tahoma" w:cs="Tahoma"/>
                <w:sz w:val="20"/>
                <w:szCs w:val="20"/>
              </w:rPr>
              <w:t xml:space="preserve"> compromisos señalados en este convenio marco de colaboración.”</w:t>
            </w:r>
          </w:p>
          <w:p w:rsidR="00835739" w:rsidRPr="00835739" w:rsidRDefault="00835739" w:rsidP="00835739">
            <w:pPr>
              <w:jc w:val="both"/>
              <w:rPr>
                <w:rFonts w:ascii="Tahoma" w:eastAsia="Calibri" w:hAnsi="Tahoma" w:cs="Tahoma"/>
                <w:sz w:val="20"/>
                <w:szCs w:val="20"/>
              </w:rPr>
            </w:pPr>
          </w:p>
        </w:tc>
      </w:tr>
    </w:tbl>
    <w:p w:rsidR="00983E29" w:rsidRDefault="00983E29"/>
    <w:sectPr w:rsidR="00983E29" w:rsidSect="0083573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06B02"/>
    <w:multiLevelType w:val="hybridMultilevel"/>
    <w:tmpl w:val="F1AA9F80"/>
    <w:lvl w:ilvl="0" w:tplc="181AFD18">
      <w:start w:val="1"/>
      <w:numFmt w:val="decimal"/>
      <w:lvlText w:val="%1."/>
      <w:lvlJc w:val="left"/>
      <w:pPr>
        <w:ind w:left="4963" w:hanging="360"/>
      </w:pPr>
      <w:rPr>
        <w:b/>
      </w:rPr>
    </w:lvl>
    <w:lvl w:ilvl="1" w:tplc="04090019">
      <w:start w:val="1"/>
      <w:numFmt w:val="lowerLetter"/>
      <w:lvlText w:val="%2."/>
      <w:lvlJc w:val="left"/>
      <w:pPr>
        <w:ind w:left="4975" w:hanging="360"/>
      </w:pPr>
    </w:lvl>
    <w:lvl w:ilvl="2" w:tplc="0409001B" w:tentative="1">
      <w:start w:val="1"/>
      <w:numFmt w:val="lowerRoman"/>
      <w:lvlText w:val="%3."/>
      <w:lvlJc w:val="right"/>
      <w:pPr>
        <w:ind w:left="5695" w:hanging="180"/>
      </w:pPr>
    </w:lvl>
    <w:lvl w:ilvl="3" w:tplc="0409000F" w:tentative="1">
      <w:start w:val="1"/>
      <w:numFmt w:val="decimal"/>
      <w:lvlText w:val="%4."/>
      <w:lvlJc w:val="left"/>
      <w:pPr>
        <w:ind w:left="6415" w:hanging="360"/>
      </w:pPr>
    </w:lvl>
    <w:lvl w:ilvl="4" w:tplc="04090019" w:tentative="1">
      <w:start w:val="1"/>
      <w:numFmt w:val="lowerLetter"/>
      <w:lvlText w:val="%5."/>
      <w:lvlJc w:val="left"/>
      <w:pPr>
        <w:ind w:left="7135" w:hanging="360"/>
      </w:pPr>
    </w:lvl>
    <w:lvl w:ilvl="5" w:tplc="0409001B" w:tentative="1">
      <w:start w:val="1"/>
      <w:numFmt w:val="lowerRoman"/>
      <w:lvlText w:val="%6."/>
      <w:lvlJc w:val="right"/>
      <w:pPr>
        <w:ind w:left="7855" w:hanging="180"/>
      </w:pPr>
    </w:lvl>
    <w:lvl w:ilvl="6" w:tplc="0409000F" w:tentative="1">
      <w:start w:val="1"/>
      <w:numFmt w:val="decimal"/>
      <w:lvlText w:val="%7."/>
      <w:lvlJc w:val="left"/>
      <w:pPr>
        <w:ind w:left="8575" w:hanging="360"/>
      </w:pPr>
    </w:lvl>
    <w:lvl w:ilvl="7" w:tplc="04090019" w:tentative="1">
      <w:start w:val="1"/>
      <w:numFmt w:val="lowerLetter"/>
      <w:lvlText w:val="%8."/>
      <w:lvlJc w:val="left"/>
      <w:pPr>
        <w:ind w:left="9295" w:hanging="360"/>
      </w:pPr>
    </w:lvl>
    <w:lvl w:ilvl="8" w:tplc="0409001B" w:tentative="1">
      <w:start w:val="1"/>
      <w:numFmt w:val="lowerRoman"/>
      <w:lvlText w:val="%9."/>
      <w:lvlJc w:val="right"/>
      <w:pPr>
        <w:ind w:left="10015" w:hanging="180"/>
      </w:pPr>
    </w:lvl>
  </w:abstractNum>
  <w:abstractNum w:abstractNumId="1">
    <w:nsid w:val="6A1A3C19"/>
    <w:multiLevelType w:val="hybridMultilevel"/>
    <w:tmpl w:val="4C803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39"/>
    <w:rsid w:val="00315CDD"/>
    <w:rsid w:val="00835739"/>
    <w:rsid w:val="00983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DBAEB-0A5E-4DCE-A941-592020CD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5739"/>
    <w:pPr>
      <w:spacing w:line="240" w:lineRule="auto"/>
      <w:ind w:left="720"/>
      <w:contextualSpacing/>
    </w:pPr>
    <w:rPr>
      <w:rFonts w:eastAsiaTheme="minorEastAsia"/>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Jimena Salgado Castelán</cp:lastModifiedBy>
  <cp:revision>2</cp:revision>
  <dcterms:created xsi:type="dcterms:W3CDTF">2016-12-20T18:26:00Z</dcterms:created>
  <dcterms:modified xsi:type="dcterms:W3CDTF">2016-12-20T18:26:00Z</dcterms:modified>
</cp:coreProperties>
</file>