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A6" w:rsidRPr="00AE75A6" w:rsidRDefault="00AE75A6" w:rsidP="00AE75A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lang w:eastAsia="es-MX"/>
        </w:rPr>
      </w:pPr>
      <w:bookmarkStart w:id="0" w:name="_GoBack"/>
      <w:bookmarkEnd w:id="0"/>
      <w:r w:rsidRPr="00AE75A6">
        <w:rPr>
          <w:rFonts w:eastAsia="Times New Roman" w:cstheme="minorHAnsi"/>
          <w:b/>
          <w:bCs/>
          <w:color w:val="000000" w:themeColor="text1"/>
          <w:sz w:val="28"/>
          <w:lang w:eastAsia="es-MX"/>
        </w:rPr>
        <w:t xml:space="preserve">Eduardo </w:t>
      </w:r>
      <w:proofErr w:type="spellStart"/>
      <w:r w:rsidRPr="00AE75A6">
        <w:rPr>
          <w:rFonts w:eastAsia="Times New Roman" w:cstheme="minorHAnsi"/>
          <w:b/>
          <w:bCs/>
          <w:color w:val="000000" w:themeColor="text1"/>
          <w:sz w:val="28"/>
          <w:lang w:eastAsia="es-MX"/>
        </w:rPr>
        <w:t>Nivón</w:t>
      </w:r>
      <w:proofErr w:type="spellEnd"/>
      <w:r w:rsidRPr="00AE75A6">
        <w:rPr>
          <w:rFonts w:eastAsia="Times New Roman" w:cstheme="minorHAnsi"/>
          <w:b/>
          <w:bCs/>
          <w:color w:val="000000" w:themeColor="text1"/>
          <w:sz w:val="28"/>
          <w:lang w:eastAsia="es-MX"/>
        </w:rPr>
        <w:t xml:space="preserve"> </w:t>
      </w:r>
      <w:proofErr w:type="spellStart"/>
      <w:r w:rsidRPr="00AE75A6">
        <w:rPr>
          <w:rFonts w:eastAsia="Times New Roman" w:cstheme="minorHAnsi"/>
          <w:b/>
          <w:bCs/>
          <w:color w:val="000000" w:themeColor="text1"/>
          <w:sz w:val="28"/>
          <w:lang w:eastAsia="es-MX"/>
        </w:rPr>
        <w:t>Bolán</w:t>
      </w:r>
      <w:proofErr w:type="spellEnd"/>
      <w:r w:rsidRPr="00AE75A6">
        <w:rPr>
          <w:rFonts w:eastAsia="Times New Roman" w:cstheme="minorHAnsi"/>
          <w:b/>
          <w:bCs/>
          <w:color w:val="000000" w:themeColor="text1"/>
          <w:sz w:val="28"/>
          <w:lang w:eastAsia="es-MX"/>
        </w:rPr>
        <w:t> </w:t>
      </w: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es doctor en Antropología (ENAH).  Su perspectiva se ha materializado en distintas actividades de docencia, asesoría e investigación. Es profesor-investigador en el Departamento de Antropología de la Universidad Autónoma Metropolitana – Iztapalapa desde 1981 y pertenece al Sistema Nacional de Investigadores (nivel II).</w:t>
      </w:r>
    </w:p>
    <w:p w:rsidR="00AE75A6" w:rsidRPr="00AE75A6" w:rsidRDefault="00AE75A6" w:rsidP="00AE75A6">
      <w:pPr>
        <w:spacing w:after="384" w:line="240" w:lineRule="auto"/>
        <w:jc w:val="both"/>
        <w:rPr>
          <w:rFonts w:eastAsia="Times New Roman" w:cstheme="minorHAnsi"/>
          <w:color w:val="000000" w:themeColor="text1"/>
          <w:sz w:val="28"/>
          <w:lang w:eastAsia="es-MX"/>
        </w:rPr>
      </w:pP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Ha realizado estudios sobre movimientos sociales, políticas culturales y cultura urbana. Algunos de ellos son el caso de Tepito, Estudio de la expansión metropolitana de la ciudad de México y Políticas culturales en ciudades mexicanas. Ha participado en varios proyectos relacionados con la formación de gestores culturales y gestores del patrimonio cultural. </w:t>
      </w:r>
    </w:p>
    <w:p w:rsidR="00AE75A6" w:rsidRPr="00AE75A6" w:rsidRDefault="00AE75A6" w:rsidP="00AE75A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lang w:eastAsia="es-MX"/>
        </w:rPr>
      </w:pP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 xml:space="preserve">Entre sus publicaciones se encuentran: Públicos de Arte y Política Cultural. Un estudio del II Festival de la Ciudad de México (en colaboración con Néstor García </w:t>
      </w:r>
      <w:proofErr w:type="spellStart"/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Canclini</w:t>
      </w:r>
      <w:proofErr w:type="spellEnd"/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); Culturas Urbanas y Movimientos Sociales; Cultura y territorio en la Ciudad de México; La política cultural. Temas, Problemas y Oportunidades; así como Desarrollo y cultura en la Ciudad de México; Planeación cultural, la asignatura pendiente: El caso del Distrito Federal en México; Cultura, medio ambiente y ciudadanía; </w:t>
      </w:r>
      <w:r w:rsidRPr="00AE75A6">
        <w:rPr>
          <w:rFonts w:eastAsia="Times New Roman" w:cstheme="minorHAnsi"/>
          <w:i/>
          <w:iCs/>
          <w:color w:val="000000" w:themeColor="text1"/>
          <w:sz w:val="28"/>
          <w:lang w:eastAsia="es-MX"/>
        </w:rPr>
        <w:t>Ciudad de Cultura </w:t>
      </w: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(UNAM/DDF,1999), </w:t>
      </w:r>
      <w:r w:rsidRPr="00AE75A6">
        <w:rPr>
          <w:rFonts w:eastAsia="Times New Roman" w:cstheme="minorHAnsi"/>
          <w:i/>
          <w:iCs/>
          <w:color w:val="000000" w:themeColor="text1"/>
          <w:sz w:val="28"/>
          <w:lang w:eastAsia="es-MX"/>
        </w:rPr>
        <w:t>Cultura y territorio en la ciudad de México</w:t>
      </w: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 (UAM/ Plaza y Valdés,1999)</w:t>
      </w:r>
      <w:r w:rsidRPr="00AE75A6">
        <w:rPr>
          <w:rFonts w:eastAsia="Times New Roman" w:cstheme="minorHAnsi"/>
          <w:i/>
          <w:iCs/>
          <w:color w:val="000000" w:themeColor="text1"/>
          <w:sz w:val="28"/>
          <w:lang w:eastAsia="es-MX"/>
        </w:rPr>
        <w:t>, </w:t>
      </w: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"Los nuevos movimientos sociales. Ciudadanía y representación en el movimiento universitario" (Alteridades, 2001),  "Hacia una antropología de la expansión urbana" (FCE, 2001); </w:t>
      </w:r>
      <w:r w:rsidRPr="00AE75A6">
        <w:rPr>
          <w:rFonts w:eastAsia="Times New Roman" w:cstheme="minorHAnsi"/>
          <w:i/>
          <w:iCs/>
          <w:color w:val="000000" w:themeColor="text1"/>
          <w:sz w:val="28"/>
          <w:lang w:eastAsia="es-MX"/>
        </w:rPr>
        <w:t xml:space="preserve">Voces Híbridas. Homenaje a García </w:t>
      </w:r>
      <w:proofErr w:type="spellStart"/>
      <w:r w:rsidRPr="00AE75A6">
        <w:rPr>
          <w:rFonts w:eastAsia="Times New Roman" w:cstheme="minorHAnsi"/>
          <w:i/>
          <w:iCs/>
          <w:color w:val="000000" w:themeColor="text1"/>
          <w:sz w:val="28"/>
          <w:lang w:eastAsia="es-MX"/>
        </w:rPr>
        <w:t>Canclini</w:t>
      </w:r>
      <w:proofErr w:type="spellEnd"/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 (Siglo XXI 2013).</w:t>
      </w:r>
    </w:p>
    <w:p w:rsidR="00AE75A6" w:rsidRPr="00AE75A6" w:rsidRDefault="00AE75A6" w:rsidP="00AE75A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lang w:eastAsia="es-MX"/>
        </w:rPr>
      </w:pPr>
    </w:p>
    <w:p w:rsidR="00AE75A6" w:rsidRPr="00AE75A6" w:rsidRDefault="00AE75A6" w:rsidP="00AE75A6">
      <w:pPr>
        <w:spacing w:after="384" w:line="240" w:lineRule="auto"/>
        <w:jc w:val="both"/>
        <w:rPr>
          <w:rFonts w:eastAsia="Times New Roman" w:cstheme="minorHAnsi"/>
          <w:color w:val="000000" w:themeColor="text1"/>
          <w:sz w:val="28"/>
          <w:lang w:eastAsia="es-MX"/>
        </w:rPr>
      </w:pP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Es coordinador  de la Especialización/Diplomado en Políticas Culturales y Gestión Cultural desde el 2004. También ha desempeñado cargos en la Escuela de Administración Pública del D.F., en el Programa de Actualización para el Instituto Nacional de Antropología e Historia, en el Departamento de Antropología de la Universidad Autónoma Metropolitana, en la Organización de las Naciones Unidas para la Educación, la Ciencia y la Cultura; en la Universidad Autónoma de Barcelona y en la Universidad de Girona.</w:t>
      </w:r>
    </w:p>
    <w:p w:rsidR="00AE75A6" w:rsidRPr="00AE75A6" w:rsidRDefault="00AE75A6" w:rsidP="00AE75A6">
      <w:pPr>
        <w:spacing w:after="384" w:line="240" w:lineRule="auto"/>
        <w:jc w:val="both"/>
        <w:rPr>
          <w:rFonts w:eastAsia="Times New Roman" w:cstheme="minorHAnsi"/>
          <w:color w:val="000000" w:themeColor="text1"/>
          <w:sz w:val="28"/>
          <w:lang w:eastAsia="es-MX"/>
        </w:rPr>
      </w:pP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 xml:space="preserve">Ha sido consultor de la UNESCO para distintos proyectos: para evaluar los trabajos previos a la constitución del Ministerio de Cultura del estado dominicano (1999); para la revisión del programa nacional de cultura de Ecuador (2007); Reunión de expertos: “Hacia un nuevo marco de políticas culturales. Líneas conceptuales y operacionales para integrar la diversidad </w:t>
      </w:r>
      <w:r w:rsidRPr="00AE75A6">
        <w:rPr>
          <w:rFonts w:eastAsia="Times New Roman" w:cstheme="minorHAnsi"/>
          <w:color w:val="000000" w:themeColor="text1"/>
          <w:sz w:val="28"/>
          <w:lang w:eastAsia="es-MX"/>
        </w:rPr>
        <w:lastRenderedPageBreak/>
        <w:t>cultural y el diálogo intercultural” en París (2009); en México participó en la propuesta de Plan de Desarrollo Urbano (2000) y como asesor del CONACULTA para la elaboración de la memoria de actividades 1994-2000.</w:t>
      </w:r>
    </w:p>
    <w:p w:rsidR="00AE75A6" w:rsidRPr="00AE75A6" w:rsidRDefault="00AE75A6" w:rsidP="00AE75A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lang w:eastAsia="es-MX"/>
        </w:rPr>
      </w:pPr>
    </w:p>
    <w:p w:rsidR="00AE75A6" w:rsidRPr="00AE75A6" w:rsidRDefault="00AE75A6" w:rsidP="00AE75A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lang w:eastAsia="es-MX"/>
        </w:rPr>
      </w:pP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Actualmente es Presidente de  C2 Cultura y Ciudadanía,  plataforma de diseño e investigación de políticas culturales A.C. que, entre otros trabajos, ha sido uno de los colaboradores de la elaboración del Libro Verde para la Institucionalización del Sistema de Fomento y Desarrollo Cultural de la Ciudad de México (2012), la Encuesta de Lectura del Distrito Federal (2012), </w:t>
      </w:r>
      <w:r w:rsidRPr="00AE75A6">
        <w:rPr>
          <w:rFonts w:eastAsia="Times New Roman" w:cstheme="minorHAnsi"/>
          <w:i/>
          <w:iCs/>
          <w:color w:val="000000" w:themeColor="text1"/>
          <w:sz w:val="28"/>
          <w:lang w:eastAsia="es-MX"/>
        </w:rPr>
        <w:t>Conservación y manejo del Centro Histórico de la Ciudad de México: un caso exitoso de política pública</w:t>
      </w: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 (2014).</w:t>
      </w:r>
    </w:p>
    <w:p w:rsidR="00AE75A6" w:rsidRPr="00AE75A6" w:rsidRDefault="00AE75A6" w:rsidP="00AE75A6">
      <w:pPr>
        <w:spacing w:after="384" w:line="240" w:lineRule="auto"/>
        <w:jc w:val="both"/>
        <w:rPr>
          <w:rFonts w:eastAsia="Times New Roman" w:cstheme="minorHAnsi"/>
          <w:color w:val="000000" w:themeColor="text1"/>
          <w:sz w:val="28"/>
          <w:lang w:eastAsia="es-MX"/>
        </w:rPr>
      </w:pPr>
      <w:r w:rsidRPr="00AE75A6">
        <w:rPr>
          <w:rFonts w:eastAsia="Times New Roman" w:cstheme="minorHAnsi"/>
          <w:color w:val="000000" w:themeColor="text1"/>
          <w:sz w:val="28"/>
          <w:lang w:eastAsia="es-MX"/>
        </w:rPr>
        <w:t> </w:t>
      </w:r>
    </w:p>
    <w:p w:rsidR="00AE75A6" w:rsidRPr="00AE75A6" w:rsidRDefault="00AE75A6" w:rsidP="00AE75A6">
      <w:pPr>
        <w:spacing w:after="0" w:line="240" w:lineRule="auto"/>
        <w:jc w:val="center"/>
        <w:rPr>
          <w:rFonts w:ascii="Helvetica" w:eastAsia="Times New Roman" w:hAnsi="Helvetica" w:cs="Helvetica"/>
          <w:color w:val="6C6E70"/>
          <w:lang w:eastAsia="es-MX"/>
        </w:rPr>
      </w:pPr>
      <w:r w:rsidRPr="00AE75A6">
        <w:rPr>
          <w:rFonts w:ascii="Helvetica" w:eastAsia="Times New Roman" w:hAnsi="Helvetica" w:cs="Helvetica"/>
          <w:noProof/>
          <w:color w:val="6C6E70"/>
          <w:lang w:eastAsia="es-MX"/>
        </w:rPr>
        <w:drawing>
          <wp:inline distT="0" distB="0" distL="0" distR="0" wp14:anchorId="15A2B7F6" wp14:editId="5A634A9B">
            <wp:extent cx="1907540" cy="2601595"/>
            <wp:effectExtent l="0" t="0" r="0" b="8255"/>
            <wp:docPr id="1" name="Imagen 1" descr="http://sgpwe.izt.uam.mx/files/users/uami/nivon/Pasted-Graphic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gpwe.izt.uam.mx/files/users/uami/nivon/Pasted-Graphic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58" w:rsidRDefault="00B22158"/>
    <w:sectPr w:rsidR="00B22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19D6"/>
    <w:multiLevelType w:val="multilevel"/>
    <w:tmpl w:val="D484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6"/>
    <w:rsid w:val="00AE75A6"/>
    <w:rsid w:val="00B22158"/>
    <w:rsid w:val="00B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CD4C7-620E-4336-9693-B61EF1D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733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2</cp:revision>
  <dcterms:created xsi:type="dcterms:W3CDTF">2017-04-21T16:47:00Z</dcterms:created>
  <dcterms:modified xsi:type="dcterms:W3CDTF">2017-04-21T16:47:00Z</dcterms:modified>
</cp:coreProperties>
</file>