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bookmarkStart w:id="0" w:name="_GoBack"/>
      <w:bookmarkEnd w:id="0"/>
    </w:p>
    <w:p w:rsid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Doctora en Ciencias Antropológicas por la Universidad Autónoma Metropolitana.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Directora de C2 Cultura y Ciudadanía, plataforma de investigación y diseño de políticas culturales AC.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Coautora de diversos libros, en los que destacan: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El Libro Verde para la Institucionalización del Sistema de Fomento y Desarrollo Cultural de la Ciudad de México (2012)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Conservación y manejo del Centro histórico de la Ciudad de México: un caso exitoso de política pública (2013)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Los lectores que somos. Estudio sobre los hábitos de lectura en el DF (2014).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Metodología para la intervención y la gestión cultural de los promotores comunitarios e institucionales (2015, en imprenta)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Ha impartido diversos cursos de capacitación a promotores y gestores culturales: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Formación de 300 gestores culturales del Instituto Nacional de Antropología e Historia (INAH), durante los años 2008, 2009 y 2010.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Participación como tutora en el Posgrado en Políticas y Gestión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Cultural de la Universidad Autónoma Metropolitana 2008.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Cursos a promotores culturales de la Secretaría de Cultura del Distrito Federal, 2010-2012.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Curso para la formación de promotores delegacionales del DF, 2012.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Curso para 100 promotores culturales comunitarios e institucionales de los pueblos de Tlalpan 2014.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Especialista en temáticas como fomento a la lectura, estilos de vida, niveles socioculturales y de género; así como construcción de identidades, usos del espacio público y doméstico, prácticas recreativas, culturales y de consumo.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  <w:r w:rsidRPr="00F03318">
        <w:rPr>
          <w:rFonts w:eastAsia="Times New Roman" w:cstheme="minorHAnsi"/>
          <w:color w:val="000000"/>
          <w:sz w:val="28"/>
          <w:szCs w:val="23"/>
          <w:lang w:eastAsia="es-MX"/>
        </w:rPr>
        <w:t>Ha realizado trabajo de campo antropológico nacional e internacional en Venezuela, Colombia, Ecuador, Chile y en Estados Unidos (principalmente con hispanos en 2005 y 2010).</w:t>
      </w: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</w:p>
    <w:p w:rsid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es-MX"/>
        </w:rPr>
      </w:pPr>
    </w:p>
    <w:p w:rsid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3"/>
          <w:lang w:eastAsia="es-MX"/>
        </w:rPr>
      </w:pPr>
    </w:p>
    <w:p w:rsidR="00F03318" w:rsidRPr="00F03318" w:rsidRDefault="00F03318" w:rsidP="00F03318">
      <w:pPr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3"/>
          <w:lang w:eastAsia="es-MX"/>
        </w:rPr>
      </w:pPr>
    </w:p>
    <w:p w:rsidR="00B22158" w:rsidRDefault="00B22158"/>
    <w:sectPr w:rsidR="00B221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2A" w:rsidRDefault="00E13A2A" w:rsidP="00F03318">
      <w:pPr>
        <w:spacing w:after="0" w:line="240" w:lineRule="auto"/>
      </w:pPr>
      <w:r>
        <w:separator/>
      </w:r>
    </w:p>
  </w:endnote>
  <w:endnote w:type="continuationSeparator" w:id="0">
    <w:p w:rsidR="00E13A2A" w:rsidRDefault="00E13A2A" w:rsidP="00F0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2A" w:rsidRDefault="00E13A2A" w:rsidP="00F03318">
      <w:pPr>
        <w:spacing w:after="0" w:line="240" w:lineRule="auto"/>
      </w:pPr>
      <w:r>
        <w:separator/>
      </w:r>
    </w:p>
  </w:footnote>
  <w:footnote w:type="continuationSeparator" w:id="0">
    <w:p w:rsidR="00E13A2A" w:rsidRDefault="00E13A2A" w:rsidP="00F0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18" w:rsidRPr="00F03318" w:rsidRDefault="00F03318">
    <w:pPr>
      <w:pStyle w:val="Encabezado"/>
      <w:rPr>
        <w:b/>
        <w:sz w:val="28"/>
      </w:rPr>
    </w:pPr>
    <w:r w:rsidRPr="00F03318">
      <w:rPr>
        <w:b/>
        <w:sz w:val="28"/>
      </w:rPr>
      <w:t xml:space="preserve">DRA. CARMEN PÉREZ CAMACHO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2AB3"/>
    <w:multiLevelType w:val="multilevel"/>
    <w:tmpl w:val="AE8A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18"/>
    <w:rsid w:val="008E2301"/>
    <w:rsid w:val="00B22158"/>
    <w:rsid w:val="00D41AB3"/>
    <w:rsid w:val="00E13A2A"/>
    <w:rsid w:val="00E611C6"/>
    <w:rsid w:val="00F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6A06-6AC3-43F6-906C-1B83CB2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318"/>
  </w:style>
  <w:style w:type="paragraph" w:styleId="Piedepgina">
    <w:name w:val="footer"/>
    <w:basedOn w:val="Normal"/>
    <w:link w:val="PiedepginaCar"/>
    <w:uiPriority w:val="99"/>
    <w:unhideWhenUsed/>
    <w:rsid w:val="00F03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318"/>
  </w:style>
  <w:style w:type="paragraph" w:styleId="Textodeglobo">
    <w:name w:val="Balloon Text"/>
    <w:basedOn w:val="Normal"/>
    <w:link w:val="TextodegloboCar"/>
    <w:uiPriority w:val="99"/>
    <w:semiHidden/>
    <w:unhideWhenUsed/>
    <w:rsid w:val="00F0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2</cp:revision>
  <cp:lastPrinted>2017-04-18T19:22:00Z</cp:lastPrinted>
  <dcterms:created xsi:type="dcterms:W3CDTF">2017-04-21T16:51:00Z</dcterms:created>
  <dcterms:modified xsi:type="dcterms:W3CDTF">2017-04-21T16:51:00Z</dcterms:modified>
</cp:coreProperties>
</file>