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2E" w:rsidRDefault="00D8392E" w:rsidP="00FC0BBF">
      <w:pPr>
        <w:pStyle w:val="Puesto"/>
        <w:jc w:val="center"/>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5695E" w:rsidRPr="00D8392E" w:rsidRDefault="0095695E" w:rsidP="00D8392E">
      <w:pPr>
        <w:pStyle w:val="Puesto"/>
        <w:jc w:val="center"/>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BBF">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SECULT – UNAM</w:t>
      </w:r>
    </w:p>
    <w:p w:rsidR="0095695E" w:rsidRPr="00D8392E" w:rsidRDefault="0095695E" w:rsidP="00D8392E">
      <w:pPr>
        <w:pStyle w:val="Puesto"/>
        <w:jc w:val="center"/>
        <w:rPr>
          <w:b/>
          <w:color w:val="A5A5A5" w:themeColor="accent3"/>
          <w:spacing w:val="0"/>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BBF">
        <w:rPr>
          <w:b/>
          <w:color w:val="A5A5A5" w:themeColor="accent3"/>
          <w:spacing w:val="0"/>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COLABORACIONES PREVIAS</w:t>
      </w:r>
      <w:r w:rsidR="00FC0BBF" w:rsidRPr="00FC0BBF">
        <w:rPr>
          <w:sz w:val="144"/>
          <w:szCs w:val="144"/>
        </w:rPr>
        <w:br w:type="page"/>
      </w:r>
    </w:p>
    <w:p w:rsidR="0095695E" w:rsidRDefault="0095695E"/>
    <w:tbl>
      <w:tblPr>
        <w:tblStyle w:val="Cuadrculadetablaclara1"/>
        <w:tblpPr w:leftFromText="141" w:rightFromText="141" w:vertAnchor="text" w:tblpXSpec="center" w:tblpY="1"/>
        <w:tblOverlap w:val="never"/>
        <w:tblW w:w="0" w:type="auto"/>
        <w:tblLook w:val="04A0" w:firstRow="1" w:lastRow="0" w:firstColumn="1" w:lastColumn="0" w:noHBand="0" w:noVBand="1"/>
      </w:tblPr>
      <w:tblGrid>
        <w:gridCol w:w="552"/>
        <w:gridCol w:w="3575"/>
        <w:gridCol w:w="8849"/>
      </w:tblGrid>
      <w:tr w:rsidR="00E21FE0" w:rsidRPr="00032ABD" w:rsidTr="003367E2">
        <w:trPr>
          <w:trHeight w:val="679"/>
          <w:tblHeader/>
        </w:trPr>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21FE0" w:rsidRPr="00032ABD" w:rsidRDefault="00E21FE0" w:rsidP="003367E2">
            <w:pPr>
              <w:spacing w:after="120" w:line="276" w:lineRule="auto"/>
              <w:jc w:val="center"/>
              <w:rPr>
                <w:rFonts w:ascii="Verdana" w:hAnsi="Verdana" w:cs="Tahoma"/>
                <w:noProof/>
                <w:sz w:val="20"/>
                <w:szCs w:val="20"/>
                <w:lang w:val="es-ES"/>
              </w:rPr>
            </w:pP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E21FE0" w:rsidRPr="00E21FE0" w:rsidRDefault="00E21FE0" w:rsidP="003367E2">
            <w:pPr>
              <w:spacing w:after="120" w:line="276" w:lineRule="auto"/>
              <w:jc w:val="center"/>
              <w:rPr>
                <w:rFonts w:ascii="Verdana" w:hAnsi="Verdana" w:cs="Tahoma"/>
                <w:b/>
                <w:noProof/>
                <w:lang w:val="es-ES"/>
              </w:rPr>
            </w:pPr>
            <w:r>
              <w:rPr>
                <w:rFonts w:ascii="Verdana" w:hAnsi="Verdana" w:cs="Tahoma"/>
                <w:b/>
                <w:noProof/>
                <w:lang w:val="es-ES"/>
              </w:rPr>
              <w:t>ÁREA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E21FE0" w:rsidRPr="00E21FE0" w:rsidRDefault="00E21FE0" w:rsidP="003367E2">
            <w:pPr>
              <w:spacing w:after="120" w:line="276" w:lineRule="auto"/>
              <w:jc w:val="center"/>
              <w:rPr>
                <w:rFonts w:ascii="Verdana" w:hAnsi="Verdana" w:cs="Tahoma"/>
                <w:b/>
                <w:noProof/>
                <w:lang w:val="es-ES"/>
              </w:rPr>
            </w:pPr>
            <w:r w:rsidRPr="00E21FE0">
              <w:rPr>
                <w:rFonts w:ascii="Verdana" w:hAnsi="Verdana" w:cs="Tahoma"/>
                <w:b/>
                <w:noProof/>
                <w:lang w:val="es-ES"/>
              </w:rPr>
              <w:t>RECUENTO DE ACCIONES</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line="276" w:lineRule="auto"/>
              <w:jc w:val="center"/>
              <w:rPr>
                <w:rFonts w:ascii="Verdana" w:hAnsi="Verdana" w:cs="Tahoma"/>
                <w:noProof/>
                <w:sz w:val="20"/>
                <w:szCs w:val="20"/>
                <w:lang w:val="es-ES"/>
              </w:rPr>
            </w:pPr>
            <w:r>
              <w:rPr>
                <w:rFonts w:ascii="Verdana" w:hAnsi="Verdana" w:cs="Tahoma"/>
                <w:noProof/>
                <w:sz w:val="20"/>
                <w:szCs w:val="20"/>
                <w:lang w:val="es-ES"/>
              </w:rPr>
              <w:t>1</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line="276" w:lineRule="auto"/>
              <w:jc w:val="center"/>
              <w:rPr>
                <w:rFonts w:ascii="Verdana" w:hAnsi="Verdana" w:cs="Tahoma"/>
                <w:noProof/>
                <w:sz w:val="22"/>
                <w:szCs w:val="22"/>
                <w:lang w:val="es-ES"/>
              </w:rPr>
            </w:pPr>
            <w:r w:rsidRPr="00032ABD">
              <w:rPr>
                <w:rFonts w:ascii="Verdana" w:hAnsi="Verdana" w:cs="Tahoma"/>
                <w:noProof/>
                <w:sz w:val="22"/>
                <w:szCs w:val="22"/>
                <w:lang w:val="es-ES"/>
              </w:rPr>
              <w:t>Coordinación de Vinculación Cultural Comunitaria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95695E" w:rsidRDefault="00C76D0B" w:rsidP="005E7240">
            <w:pPr>
              <w:pStyle w:val="Prrafodelista"/>
              <w:numPr>
                <w:ilvl w:val="0"/>
                <w:numId w:val="15"/>
              </w:numPr>
              <w:spacing w:before="120" w:line="276" w:lineRule="auto"/>
              <w:ind w:left="714" w:hanging="357"/>
              <w:rPr>
                <w:rFonts w:ascii="Verdana" w:hAnsi="Verdana" w:cs="Tahoma"/>
                <w:noProof/>
                <w:sz w:val="22"/>
                <w:szCs w:val="22"/>
                <w:lang w:val="es-ES"/>
              </w:rPr>
            </w:pPr>
            <w:r w:rsidRPr="0095695E">
              <w:rPr>
                <w:rFonts w:ascii="Verdana" w:hAnsi="Verdana" w:cs="Tahoma"/>
                <w:noProof/>
                <w:sz w:val="22"/>
                <w:szCs w:val="22"/>
                <w:lang w:val="es-ES"/>
              </w:rPr>
              <w:t>La Fiesta del Libro y la Rosa</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Gran Remate de Libros en el Auditorio Nacional</w:t>
            </w:r>
          </w:p>
          <w:p w:rsidR="00C76D0B" w:rsidRPr="0095695E" w:rsidRDefault="00334D1C" w:rsidP="003367E2">
            <w:pPr>
              <w:pStyle w:val="Prrafodelista"/>
              <w:numPr>
                <w:ilvl w:val="0"/>
                <w:numId w:val="15"/>
              </w:numPr>
              <w:spacing w:line="276" w:lineRule="auto"/>
              <w:rPr>
                <w:rFonts w:ascii="Verdana" w:hAnsi="Verdana" w:cs="Tahoma"/>
                <w:noProof/>
                <w:sz w:val="22"/>
                <w:szCs w:val="22"/>
                <w:lang w:val="es-ES"/>
              </w:rPr>
            </w:pPr>
            <w:r>
              <w:rPr>
                <w:rFonts w:ascii="Verdana" w:hAnsi="Verdana" w:cs="Tahoma"/>
                <w:noProof/>
                <w:sz w:val="22"/>
                <w:szCs w:val="22"/>
                <w:lang w:val="es-ES"/>
              </w:rPr>
              <w:t>El L</w:t>
            </w:r>
            <w:r w:rsidR="00C76D0B" w:rsidRPr="0095695E">
              <w:rPr>
                <w:rFonts w:ascii="Verdana" w:hAnsi="Verdana" w:cs="Tahoma"/>
                <w:noProof/>
                <w:sz w:val="22"/>
                <w:szCs w:val="22"/>
                <w:lang w:val="es-ES"/>
              </w:rPr>
              <w:t>ibro Club ha participado en las ediciones XXXVI y XXXVII de la Feria Internacional del Libro del Palacio de Minería</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Programación cultural de la FIL CDMX</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Con la Escuela Nacional de Trabajo Social se trabaja un Atlas de actores culturales (2015-2016)</w:t>
            </w:r>
          </w:p>
          <w:p w:rsidR="00C76D0B"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Supervisión y evaluación del PACM</w:t>
            </w:r>
            <w:r w:rsidR="00635749">
              <w:rPr>
                <w:rFonts w:ascii="Verdana" w:hAnsi="Verdana" w:cs="Tahoma"/>
                <w:noProof/>
                <w:sz w:val="22"/>
                <w:szCs w:val="22"/>
                <w:lang w:val="es-ES"/>
              </w:rPr>
              <w:t>y</w:t>
            </w:r>
            <w:r w:rsidRPr="0095695E">
              <w:rPr>
                <w:rFonts w:ascii="Verdana" w:hAnsi="Verdana" w:cs="Tahoma"/>
                <w:noProof/>
                <w:sz w:val="22"/>
                <w:szCs w:val="22"/>
                <w:lang w:val="es-ES"/>
              </w:rPr>
              <w:t>C</w:t>
            </w:r>
          </w:p>
          <w:p w:rsidR="003367E2" w:rsidRDefault="003367E2" w:rsidP="003367E2">
            <w:pPr>
              <w:spacing w:line="276" w:lineRule="auto"/>
              <w:rPr>
                <w:rFonts w:ascii="Verdana" w:hAnsi="Verdana" w:cs="Tahoma"/>
                <w:noProof/>
                <w:lang w:val="es-ES"/>
              </w:rPr>
            </w:pPr>
          </w:p>
          <w:p w:rsidR="003367E2" w:rsidRPr="003367E2" w:rsidRDefault="003367E2" w:rsidP="00A642B4">
            <w:pPr>
              <w:spacing w:after="120" w:line="276" w:lineRule="auto"/>
              <w:rPr>
                <w:rFonts w:ascii="Verdana" w:hAnsi="Verdana" w:cs="Tahoma"/>
                <w:b/>
                <w:noProof/>
                <w:lang w:val="es-ES"/>
              </w:rPr>
            </w:pPr>
            <w:r w:rsidRPr="003367E2">
              <w:rPr>
                <w:rFonts w:ascii="Verdana" w:hAnsi="Verdana" w:cs="Tahoma"/>
                <w:b/>
                <w:noProof/>
                <w:lang w:val="es-ES"/>
              </w:rPr>
              <w:t>Centro Cultural Ollin Yoliztli</w:t>
            </w:r>
            <w:r w:rsidRPr="003367E2">
              <w:rPr>
                <w:rFonts w:ascii="Verdana" w:hAnsi="Verdana" w:cs="Tahoma"/>
                <w:b/>
                <w:noProof/>
                <w:lang w:val="es-ES"/>
              </w:rPr>
              <w:tab/>
            </w:r>
          </w:p>
          <w:p w:rsidR="003367E2" w:rsidRPr="005E7240" w:rsidRDefault="003367E2" w:rsidP="005E7240">
            <w:pPr>
              <w:pStyle w:val="Prrafodelista"/>
              <w:numPr>
                <w:ilvl w:val="0"/>
                <w:numId w:val="18"/>
              </w:numPr>
              <w:spacing w:line="276" w:lineRule="auto"/>
              <w:rPr>
                <w:rFonts w:ascii="Verdana" w:hAnsi="Verdana" w:cs="Tahoma"/>
                <w:noProof/>
                <w:lang w:val="es-ES"/>
              </w:rPr>
            </w:pPr>
            <w:r w:rsidRPr="005E7240">
              <w:rPr>
                <w:rFonts w:ascii="Verdana" w:hAnsi="Verdana" w:cs="Tahoma"/>
                <w:noProof/>
                <w:lang w:val="es-ES"/>
              </w:rPr>
              <w:t>Concierto de alumnos de la Escuela de Música Vida y Movimiento en la Escuela Nacional de Música.</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Colaboración con la Dirección de Danza UNAM con el programa EN MOVIMIENTO Joven Talento Mexicano 2015-2016</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Participación de la Escuela de Danza Contemporánea en talleres y funciones de EN MOVIMIENTO Joven Talento Mexicano 2016</w:t>
            </w:r>
          </w:p>
          <w:p w:rsidR="003367E2" w:rsidRPr="005E7240" w:rsidRDefault="003367E2" w:rsidP="00AF29EF">
            <w:pPr>
              <w:pStyle w:val="Prrafodelista"/>
              <w:numPr>
                <w:ilvl w:val="0"/>
                <w:numId w:val="18"/>
              </w:numPr>
              <w:spacing w:line="276" w:lineRule="auto"/>
              <w:ind w:left="1416" w:hanging="1056"/>
              <w:rPr>
                <w:rFonts w:ascii="Verdana" w:hAnsi="Verdana" w:cs="Tahoma"/>
                <w:noProof/>
                <w:sz w:val="22"/>
                <w:szCs w:val="22"/>
                <w:lang w:val="es-ES"/>
              </w:rPr>
            </w:pPr>
            <w:r w:rsidRPr="005E7240">
              <w:rPr>
                <w:rFonts w:ascii="Verdana" w:hAnsi="Verdana" w:cs="Tahoma"/>
                <w:noProof/>
                <w:sz w:val="22"/>
                <w:szCs w:val="22"/>
                <w:lang w:val="es-ES"/>
              </w:rPr>
              <w:t>Presentaciones de Danza Capital</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Presentaciones de las escuelas de Música Vida y Movimiento y la Escuela de Danza Contemporánea en diferentes centros de la UNAM</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Colaboración con la Dirección de Danza UNAM para participar en actividades programadas</w:t>
            </w:r>
          </w:p>
          <w:p w:rsidR="003367E2" w:rsidRDefault="003367E2" w:rsidP="003367E2">
            <w:pPr>
              <w:spacing w:line="276" w:lineRule="auto"/>
              <w:rPr>
                <w:rFonts w:ascii="Verdana" w:hAnsi="Verdana" w:cs="Tahoma"/>
                <w:b/>
                <w:noProof/>
                <w:lang w:val="es-ES"/>
              </w:rPr>
            </w:pPr>
          </w:p>
          <w:p w:rsidR="005238F5" w:rsidRPr="003367E2" w:rsidRDefault="005238F5" w:rsidP="003367E2">
            <w:pPr>
              <w:spacing w:line="276" w:lineRule="auto"/>
              <w:rPr>
                <w:rFonts w:ascii="Verdana" w:hAnsi="Verdana" w:cs="Tahoma"/>
                <w:b/>
                <w:noProof/>
                <w:lang w:val="es-ES"/>
              </w:rPr>
            </w:pPr>
          </w:p>
          <w:p w:rsidR="003367E2" w:rsidRPr="003367E2" w:rsidRDefault="003367E2" w:rsidP="00A642B4">
            <w:pPr>
              <w:spacing w:before="120" w:after="120" w:line="276" w:lineRule="auto"/>
              <w:rPr>
                <w:rFonts w:ascii="Verdana" w:hAnsi="Verdana" w:cs="Tahoma"/>
                <w:b/>
                <w:noProof/>
                <w:lang w:val="es-ES"/>
              </w:rPr>
            </w:pPr>
            <w:r w:rsidRPr="003367E2">
              <w:rPr>
                <w:rFonts w:ascii="Verdana" w:hAnsi="Verdana" w:cs="Tahoma"/>
                <w:b/>
                <w:noProof/>
                <w:lang w:val="es-ES"/>
              </w:rPr>
              <w:lastRenderedPageBreak/>
              <w:t>Red de Faros de la Ciudad de México</w:t>
            </w:r>
          </w:p>
          <w:p w:rsidR="003367E2" w:rsidRDefault="003367E2" w:rsidP="000C5177">
            <w:pPr>
              <w:spacing w:before="120" w:after="120" w:line="276" w:lineRule="auto"/>
              <w:rPr>
                <w:rFonts w:ascii="Verdana" w:hAnsi="Verdana" w:cs="Tahoma"/>
                <w:noProof/>
                <w:lang w:val="es-ES"/>
              </w:rPr>
            </w:pPr>
            <w:r w:rsidRPr="003367E2">
              <w:rPr>
                <w:rFonts w:ascii="Verdana" w:hAnsi="Verdana" w:cs="Tahoma"/>
                <w:b/>
                <w:noProof/>
                <w:lang w:val="es-ES"/>
              </w:rPr>
              <w:t>ORIENTE</w:t>
            </w:r>
            <w:r w:rsidRPr="003367E2">
              <w:rPr>
                <w:rFonts w:ascii="Verdana" w:hAnsi="Verdana" w:cs="Tahoma"/>
                <w:b/>
                <w:noProof/>
                <w:lang w:val="es-ES"/>
              </w:rPr>
              <w:tab/>
            </w:r>
          </w:p>
          <w:p w:rsidR="003367E2" w:rsidRPr="005E7240" w:rsidRDefault="003367E2" w:rsidP="005E7240">
            <w:pPr>
              <w:pStyle w:val="Prrafodelista"/>
              <w:numPr>
                <w:ilvl w:val="0"/>
                <w:numId w:val="19"/>
              </w:numPr>
              <w:spacing w:line="276" w:lineRule="auto"/>
              <w:rPr>
                <w:rFonts w:ascii="Verdana" w:hAnsi="Verdana" w:cs="Tahoma"/>
                <w:noProof/>
                <w:lang w:val="es-ES"/>
              </w:rPr>
            </w:pPr>
            <w:r w:rsidRPr="005E7240">
              <w:rPr>
                <w:rFonts w:ascii="Verdana" w:hAnsi="Verdana" w:cs="Tahoma"/>
                <w:noProof/>
                <w:lang w:val="es-ES"/>
              </w:rPr>
              <w:t>Participación en la Feria del Libro y la Rosa con el taller de robótica Armado Q-bots y presentación del grupo juvenil Trasher Kids</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Festival del Día de la Tierra en colaboración con la Facultad de Ciencias en el Faro de Oriente</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Festival del Día del Juego en colaboración de la Facultad de Ciencias que impartió talleres de matemáticas y física</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Cada año el Faro de Oriente es sede para el Festival de Cine de la UNAM</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Préstamo de películas y documentales de la Filmoteca de la UNAM para la exhibición dentro del programa Cineclub del Faro de Oriente</w:t>
            </w:r>
          </w:p>
          <w:p w:rsidR="003367E2" w:rsidRPr="003367E2" w:rsidRDefault="003367E2" w:rsidP="003367E2">
            <w:pPr>
              <w:spacing w:line="276" w:lineRule="auto"/>
              <w:rPr>
                <w:rFonts w:ascii="Verdana" w:hAnsi="Verdana" w:cs="Tahoma"/>
                <w:noProof/>
                <w:lang w:val="es-ES"/>
              </w:rPr>
            </w:pPr>
          </w:p>
          <w:p w:rsidR="003367E2" w:rsidRDefault="003367E2" w:rsidP="003367E2">
            <w:pPr>
              <w:spacing w:line="276" w:lineRule="auto"/>
              <w:rPr>
                <w:rFonts w:ascii="Verdana" w:hAnsi="Verdana" w:cs="Tahoma"/>
                <w:noProof/>
                <w:lang w:val="es-ES"/>
              </w:rPr>
            </w:pPr>
            <w:r w:rsidRPr="003367E2">
              <w:rPr>
                <w:rFonts w:ascii="Verdana" w:hAnsi="Verdana" w:cs="Tahoma"/>
                <w:b/>
                <w:noProof/>
                <w:lang w:val="es-ES"/>
              </w:rPr>
              <w:t>MILPA ALTA</w:t>
            </w:r>
            <w:r w:rsidRPr="003367E2">
              <w:rPr>
                <w:rFonts w:ascii="Verdana" w:hAnsi="Verdana" w:cs="Tahoma"/>
                <w:b/>
                <w:noProof/>
                <w:lang w:val="es-ES"/>
              </w:rPr>
              <w:tab/>
            </w:r>
          </w:p>
          <w:p w:rsidR="003367E2" w:rsidRPr="005E7240" w:rsidRDefault="003367E2" w:rsidP="005E7240">
            <w:pPr>
              <w:pStyle w:val="Prrafodelista"/>
              <w:numPr>
                <w:ilvl w:val="0"/>
                <w:numId w:val="20"/>
              </w:numPr>
              <w:spacing w:line="276" w:lineRule="auto"/>
              <w:rPr>
                <w:rFonts w:ascii="Verdana" w:hAnsi="Verdana" w:cs="Tahoma"/>
                <w:noProof/>
                <w:lang w:val="es-ES"/>
              </w:rPr>
            </w:pPr>
            <w:r w:rsidRPr="005E7240">
              <w:rPr>
                <w:rFonts w:ascii="Verdana" w:hAnsi="Verdana" w:cs="Tahoma"/>
                <w:noProof/>
                <w:lang w:val="es-ES"/>
              </w:rPr>
              <w:t>Programa de servicio social y prácticas profesionales de las carreras de Trabajo Social, Psicología Social y Clínica, Comunicación, Diseño Gráfico, Pedagogía, Psicología y Sociología</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Creación de Microempresas Sociales FARO Milpa Alta</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Coloquio sobre la participación de la mujer, en el desarrollo de los pueblos indígenas con el Programa Universitario de Estudios de Género de la UNAM</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El paraíso de los gatos, ópera infantil que se realizó con la Escuela Nacional de Música de la UNAM</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2</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lang w:val="es-ES"/>
              </w:rPr>
            </w:pPr>
            <w:r>
              <w:rPr>
                <w:rFonts w:ascii="Verdana" w:hAnsi="Verdana" w:cs="Tahoma"/>
                <w:noProof/>
                <w:lang w:val="es-ES"/>
              </w:rPr>
              <w:t>Coordinación de Patrimonio Histórico, Artístico y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Default="00C76D0B" w:rsidP="00A642B4">
            <w:pPr>
              <w:spacing w:before="120" w:after="120"/>
              <w:jc w:val="left"/>
              <w:rPr>
                <w:rFonts w:ascii="Verdana" w:hAnsi="Verdana" w:cs="Tahoma"/>
                <w:noProof/>
                <w:lang w:val="es-ES"/>
              </w:rPr>
            </w:pPr>
            <w:r w:rsidRPr="00CC3D84">
              <w:rPr>
                <w:rFonts w:ascii="Verdana" w:hAnsi="Verdana" w:cs="Tahoma"/>
                <w:noProof/>
                <w:lang w:val="es-ES"/>
              </w:rPr>
              <w:t xml:space="preserve">Se trabaja en coordinación con la facultad de Arquitectura en </w:t>
            </w:r>
            <w:r>
              <w:rPr>
                <w:rFonts w:ascii="Verdana" w:hAnsi="Verdana" w:cs="Tahoma"/>
                <w:noProof/>
                <w:lang w:val="es-ES"/>
              </w:rPr>
              <w:t xml:space="preserve">la propuesta del curso de capacitación a impartir a los participantes del </w:t>
            </w:r>
            <w:r w:rsidRPr="00CC3D84">
              <w:rPr>
                <w:rFonts w:ascii="Verdana" w:hAnsi="Verdana" w:cs="Tahoma"/>
                <w:noProof/>
                <w:lang w:val="es-ES"/>
              </w:rPr>
              <w:t>proyecto Guardianes del Patrimonio</w:t>
            </w:r>
          </w:p>
          <w:p w:rsidR="005238F5" w:rsidRDefault="005238F5" w:rsidP="00A642B4">
            <w:pPr>
              <w:spacing w:before="120" w:after="120"/>
              <w:jc w:val="left"/>
              <w:rPr>
                <w:rFonts w:ascii="Verdana" w:hAnsi="Verdana" w:cs="Tahoma"/>
                <w:noProof/>
                <w:lang w:val="es-ES"/>
              </w:rPr>
            </w:pPr>
          </w:p>
          <w:p w:rsidR="005238F5" w:rsidRDefault="005238F5" w:rsidP="00A642B4">
            <w:pPr>
              <w:spacing w:before="120" w:after="120"/>
              <w:jc w:val="left"/>
              <w:rPr>
                <w:rFonts w:ascii="Verdana" w:hAnsi="Verdana" w:cs="Tahoma"/>
                <w:noProof/>
                <w:lang w:val="es-ES"/>
              </w:rPr>
            </w:pPr>
          </w:p>
          <w:p w:rsidR="00EC45D6" w:rsidRPr="00EC45D6" w:rsidRDefault="00EC45D6" w:rsidP="000C5177">
            <w:pPr>
              <w:spacing w:before="120" w:after="120"/>
              <w:jc w:val="left"/>
              <w:rPr>
                <w:rFonts w:ascii="Verdana" w:hAnsi="Verdana" w:cs="Tahoma"/>
                <w:b/>
                <w:noProof/>
                <w:sz w:val="22"/>
                <w:szCs w:val="22"/>
                <w:lang w:val="es-ES"/>
              </w:rPr>
            </w:pPr>
            <w:r w:rsidRPr="00EC45D6">
              <w:rPr>
                <w:rFonts w:ascii="Verdana" w:hAnsi="Verdana" w:cs="Tahoma"/>
                <w:b/>
                <w:noProof/>
                <w:sz w:val="22"/>
                <w:szCs w:val="22"/>
                <w:lang w:val="es-ES"/>
              </w:rPr>
              <w:lastRenderedPageBreak/>
              <w:t>Archivo Histórico de la Ciudad de México</w:t>
            </w:r>
          </w:p>
          <w:p w:rsidR="00EC45D6" w:rsidRDefault="00C76835" w:rsidP="000C5177">
            <w:pPr>
              <w:spacing w:after="120"/>
              <w:jc w:val="left"/>
              <w:rPr>
                <w:rFonts w:ascii="Verdana" w:hAnsi="Verdana" w:cs="Tahoma"/>
                <w:noProof/>
                <w:sz w:val="22"/>
                <w:szCs w:val="22"/>
                <w:lang w:val="es-ES"/>
              </w:rPr>
            </w:pPr>
            <w:r>
              <w:rPr>
                <w:rFonts w:ascii="Verdana" w:hAnsi="Verdana" w:cs="Tahoma"/>
                <w:noProof/>
                <w:sz w:val="22"/>
                <w:szCs w:val="22"/>
                <w:lang w:val="es-ES"/>
              </w:rPr>
              <w:t xml:space="preserve">En el sexenio pasado, se firmó un convenio específico entre </w:t>
            </w:r>
            <w:r w:rsidR="003367E2">
              <w:rPr>
                <w:rFonts w:ascii="Verdana" w:hAnsi="Verdana" w:cs="Tahoma"/>
                <w:noProof/>
                <w:sz w:val="22"/>
                <w:szCs w:val="22"/>
                <w:lang w:val="es-ES"/>
              </w:rPr>
              <w:t>la UNAM</w:t>
            </w:r>
            <w:r>
              <w:rPr>
                <w:rFonts w:ascii="Verdana" w:hAnsi="Verdana" w:cs="Tahoma"/>
                <w:noProof/>
                <w:sz w:val="22"/>
                <w:szCs w:val="22"/>
                <w:lang w:val="es-ES"/>
              </w:rPr>
              <w:t xml:space="preserve"> y la </w:t>
            </w:r>
            <w:r w:rsidR="003367E2">
              <w:rPr>
                <w:rFonts w:ascii="Verdana" w:hAnsi="Verdana" w:cs="Tahoma"/>
                <w:noProof/>
                <w:sz w:val="22"/>
                <w:szCs w:val="22"/>
                <w:lang w:val="es-ES"/>
              </w:rPr>
              <w:t>SeCult</w:t>
            </w:r>
            <w:r>
              <w:rPr>
                <w:rFonts w:ascii="Verdana" w:hAnsi="Verdana" w:cs="Tahoma"/>
                <w:noProof/>
                <w:sz w:val="22"/>
                <w:szCs w:val="22"/>
                <w:lang w:val="es-ES"/>
              </w:rPr>
              <w:t>,</w:t>
            </w:r>
            <w:r w:rsidR="003367E2">
              <w:rPr>
                <w:rFonts w:ascii="Verdana" w:hAnsi="Verdana" w:cs="Tahoma"/>
                <w:noProof/>
                <w:sz w:val="22"/>
                <w:szCs w:val="22"/>
                <w:lang w:val="es-ES"/>
              </w:rPr>
              <w:t xml:space="preserve"> </w:t>
            </w:r>
            <w:r>
              <w:rPr>
                <w:rFonts w:ascii="Verdana" w:hAnsi="Verdana" w:cs="Tahoma"/>
                <w:noProof/>
                <w:sz w:val="22"/>
                <w:szCs w:val="22"/>
                <w:lang w:val="es-ES"/>
              </w:rPr>
              <w:t xml:space="preserve">con lo cual se trabajó en la </w:t>
            </w:r>
            <w:r w:rsidR="003367E2">
              <w:rPr>
                <w:rFonts w:ascii="Verdana" w:hAnsi="Verdana" w:cs="Tahoma"/>
                <w:noProof/>
                <w:sz w:val="22"/>
                <w:szCs w:val="22"/>
                <w:lang w:val="es-ES"/>
              </w:rPr>
              <w:t>d</w:t>
            </w:r>
            <w:r w:rsidR="00EC45D6">
              <w:rPr>
                <w:rFonts w:ascii="Verdana" w:hAnsi="Verdana" w:cs="Tahoma"/>
                <w:noProof/>
                <w:sz w:val="22"/>
                <w:szCs w:val="22"/>
                <w:lang w:val="es-ES"/>
              </w:rPr>
              <w:t>igitalización de planos históricos</w:t>
            </w:r>
            <w:r w:rsidR="003367E2">
              <w:rPr>
                <w:rFonts w:ascii="Verdana" w:hAnsi="Verdana" w:cs="Tahoma"/>
                <w:noProof/>
                <w:sz w:val="22"/>
                <w:szCs w:val="22"/>
                <w:lang w:val="es-ES"/>
              </w:rPr>
              <w:t xml:space="preserve"> que f</w:t>
            </w:r>
            <w:r w:rsidR="000C5177">
              <w:rPr>
                <w:rFonts w:ascii="Verdana" w:hAnsi="Verdana" w:cs="Tahoma"/>
                <w:noProof/>
                <w:sz w:val="22"/>
                <w:szCs w:val="22"/>
                <w:lang w:val="es-ES"/>
              </w:rPr>
              <w:t>orman parte del acervo del AHCM</w:t>
            </w:r>
          </w:p>
          <w:p w:rsidR="003367E2" w:rsidRDefault="003367E2" w:rsidP="003367E2">
            <w:pPr>
              <w:spacing w:after="120"/>
              <w:jc w:val="left"/>
              <w:rPr>
                <w:rFonts w:ascii="Verdana" w:hAnsi="Verdana" w:cs="Tahoma"/>
                <w:b/>
                <w:noProof/>
                <w:sz w:val="22"/>
                <w:szCs w:val="22"/>
                <w:lang w:val="es-ES"/>
              </w:rPr>
            </w:pPr>
            <w:r w:rsidRPr="003367E2">
              <w:rPr>
                <w:rFonts w:ascii="Verdana" w:hAnsi="Verdana" w:cs="Tahoma"/>
                <w:b/>
                <w:noProof/>
                <w:sz w:val="22"/>
                <w:szCs w:val="22"/>
                <w:lang w:val="es-ES"/>
              </w:rPr>
              <w:t>Museo Nacional de la Revolución</w:t>
            </w:r>
            <w:r w:rsidRPr="003367E2">
              <w:rPr>
                <w:rFonts w:ascii="Verdana" w:hAnsi="Verdana" w:cs="Tahoma"/>
                <w:b/>
                <w:noProof/>
                <w:sz w:val="22"/>
                <w:szCs w:val="22"/>
                <w:lang w:val="es-ES"/>
              </w:rPr>
              <w:tab/>
            </w:r>
          </w:p>
          <w:p w:rsidR="00EC45D6" w:rsidRPr="00032ABD" w:rsidRDefault="003367E2" w:rsidP="00C76835">
            <w:pPr>
              <w:spacing w:after="120"/>
              <w:jc w:val="left"/>
              <w:rPr>
                <w:rFonts w:ascii="Verdana" w:hAnsi="Verdana" w:cs="Tahoma"/>
                <w:noProof/>
                <w:lang w:val="es-ES"/>
              </w:rPr>
            </w:pPr>
            <w:r w:rsidRPr="003367E2">
              <w:rPr>
                <w:rFonts w:ascii="Verdana" w:hAnsi="Verdana" w:cs="Tahoma"/>
                <w:noProof/>
                <w:sz w:val="22"/>
                <w:szCs w:val="22"/>
                <w:lang w:val="es-ES"/>
              </w:rPr>
              <w:t xml:space="preserve">Exposición temporal </w:t>
            </w:r>
            <w:r w:rsidRPr="00C76835">
              <w:rPr>
                <w:rFonts w:ascii="Verdana" w:hAnsi="Verdana" w:cs="Tahoma"/>
                <w:i/>
                <w:noProof/>
                <w:sz w:val="22"/>
                <w:szCs w:val="22"/>
                <w:lang w:val="es-ES"/>
              </w:rPr>
              <w:t>En la mira del Tío Sam</w:t>
            </w:r>
            <w:r w:rsidRPr="003367E2">
              <w:rPr>
                <w:rFonts w:ascii="Verdana" w:hAnsi="Verdana" w:cs="Tahoma"/>
                <w:noProof/>
                <w:sz w:val="22"/>
                <w:szCs w:val="22"/>
                <w:lang w:val="es-ES"/>
              </w:rPr>
              <w:t xml:space="preserve"> en colaboración con la Filmoteca de la UNAM, la cual proporcionó material fílmico.</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3</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Sistema de Teatros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DC1DCA" w:rsidRDefault="00334D1C" w:rsidP="00DC1DCA">
            <w:pPr>
              <w:pStyle w:val="Prrafodelista"/>
              <w:numPr>
                <w:ilvl w:val="0"/>
                <w:numId w:val="21"/>
              </w:numPr>
              <w:spacing w:before="120" w:line="276" w:lineRule="auto"/>
              <w:ind w:left="714" w:hanging="357"/>
              <w:rPr>
                <w:rFonts w:ascii="Verdana" w:hAnsi="Verdana" w:cs="Tahoma"/>
                <w:noProof/>
                <w:lang w:val="es-ES"/>
              </w:rPr>
            </w:pPr>
            <w:r>
              <w:rPr>
                <w:rFonts w:ascii="Verdana" w:hAnsi="Verdana" w:cs="Tahoma"/>
                <w:noProof/>
                <w:lang w:val="es-ES"/>
              </w:rPr>
              <w:t>Se han p</w:t>
            </w:r>
            <w:r w:rsidR="00C76D0B" w:rsidRPr="00DC1DCA">
              <w:rPr>
                <w:rFonts w:ascii="Verdana" w:hAnsi="Verdana" w:cs="Tahoma"/>
                <w:noProof/>
                <w:lang w:val="es-ES"/>
              </w:rPr>
              <w:t>rogramado espectáculos de música, danza, teatro, e interdisciplina dirigidos a jóvenes y ado</w:t>
            </w:r>
            <w:r w:rsidR="00DC1DCA">
              <w:rPr>
                <w:rFonts w:ascii="Verdana" w:hAnsi="Verdana" w:cs="Tahoma"/>
                <w:noProof/>
                <w:lang w:val="es-ES"/>
              </w:rPr>
              <w:t>lescentes</w:t>
            </w:r>
          </w:p>
          <w:p w:rsidR="00C76D0B" w:rsidRPr="00DC1DCA" w:rsidRDefault="000C5177" w:rsidP="00DC1DCA">
            <w:pPr>
              <w:pStyle w:val="Prrafodelista"/>
              <w:numPr>
                <w:ilvl w:val="0"/>
                <w:numId w:val="21"/>
              </w:numPr>
              <w:spacing w:line="276" w:lineRule="auto"/>
              <w:rPr>
                <w:rFonts w:ascii="Verdana" w:hAnsi="Verdana" w:cs="Tahoma"/>
                <w:noProof/>
                <w:lang w:val="es-ES"/>
              </w:rPr>
            </w:pPr>
            <w:r w:rsidRPr="00DC1DCA">
              <w:rPr>
                <w:rFonts w:ascii="Verdana" w:hAnsi="Verdana" w:cs="Tahoma"/>
                <w:noProof/>
                <w:lang w:val="es-ES"/>
              </w:rPr>
              <w:t>Apoyo</w:t>
            </w:r>
            <w:r w:rsidR="00C76D0B" w:rsidRPr="00DC1DCA">
              <w:rPr>
                <w:rFonts w:ascii="Verdana" w:hAnsi="Verdana" w:cs="Tahoma"/>
                <w:noProof/>
                <w:lang w:val="es-ES"/>
              </w:rPr>
              <w:t xml:space="preserve"> a compañías de artes escénicas para darles la posibil</w:t>
            </w:r>
            <w:r w:rsidR="00DC1DCA">
              <w:rPr>
                <w:rFonts w:ascii="Verdana" w:hAnsi="Verdana" w:cs="Tahoma"/>
                <w:noProof/>
                <w:lang w:val="es-ES"/>
              </w:rPr>
              <w:t>idad de presentar sus proyectos</w:t>
            </w:r>
          </w:p>
          <w:p w:rsidR="00C76D0B" w:rsidRPr="00DC1DCA" w:rsidRDefault="000C5177" w:rsidP="00DC1DCA">
            <w:pPr>
              <w:pStyle w:val="Prrafodelista"/>
              <w:numPr>
                <w:ilvl w:val="0"/>
                <w:numId w:val="21"/>
              </w:numPr>
              <w:spacing w:line="276" w:lineRule="auto"/>
              <w:rPr>
                <w:rFonts w:ascii="Verdana" w:hAnsi="Verdana" w:cs="Tahoma"/>
                <w:noProof/>
                <w:lang w:val="es-ES"/>
              </w:rPr>
            </w:pPr>
            <w:r w:rsidRPr="00DC1DCA">
              <w:rPr>
                <w:rFonts w:ascii="Verdana" w:hAnsi="Verdana" w:cs="Tahoma"/>
                <w:noProof/>
                <w:lang w:val="es-ES"/>
              </w:rPr>
              <w:t>Trabajo conjunto</w:t>
            </w:r>
            <w:r w:rsidR="00C76D0B" w:rsidRPr="00DC1DCA">
              <w:rPr>
                <w:rFonts w:ascii="Verdana" w:hAnsi="Verdana" w:cs="Tahoma"/>
                <w:noProof/>
                <w:lang w:val="es-ES"/>
              </w:rPr>
              <w:t xml:space="preserve"> en la edición y distribución de la Revista Estudiantil del Centro Universitario de Teatro La </w:t>
            </w:r>
            <w:r w:rsidR="00DC1DCA">
              <w:rPr>
                <w:rFonts w:ascii="Verdana" w:hAnsi="Verdana" w:cs="Tahoma"/>
                <w:noProof/>
                <w:lang w:val="es-ES"/>
              </w:rPr>
              <w:t>Barraca, desde 2014 a la fecha</w:t>
            </w:r>
          </w:p>
          <w:p w:rsidR="00C76D0B" w:rsidRPr="00032ABD" w:rsidRDefault="000C5177" w:rsidP="00DC1DCA">
            <w:pPr>
              <w:pStyle w:val="Prrafodelista"/>
              <w:numPr>
                <w:ilvl w:val="0"/>
                <w:numId w:val="21"/>
              </w:numPr>
              <w:spacing w:line="276" w:lineRule="auto"/>
              <w:rPr>
                <w:rFonts w:ascii="Verdana" w:hAnsi="Verdana" w:cs="Tahoma"/>
                <w:noProof/>
                <w:sz w:val="22"/>
                <w:szCs w:val="22"/>
                <w:lang w:val="es-ES"/>
              </w:rPr>
            </w:pPr>
            <w:r w:rsidRPr="00DC1DCA">
              <w:rPr>
                <w:rFonts w:ascii="Verdana" w:hAnsi="Verdana" w:cs="Tahoma"/>
                <w:noProof/>
                <w:lang w:val="es-ES"/>
              </w:rPr>
              <w:t>Programación d</w:t>
            </w:r>
            <w:r w:rsidR="00C76D0B" w:rsidRPr="00DC1DCA">
              <w:rPr>
                <w:rFonts w:ascii="Verdana" w:hAnsi="Verdana" w:cs="Tahoma"/>
                <w:noProof/>
                <w:lang w:val="es-ES"/>
              </w:rPr>
              <w:t xml:space="preserve">el Proyecto de Alcance </w:t>
            </w:r>
            <w:r w:rsidR="00DC1DCA">
              <w:rPr>
                <w:rFonts w:ascii="Verdana" w:hAnsi="Verdana" w:cs="Tahoma"/>
                <w:noProof/>
                <w:lang w:val="es-ES"/>
              </w:rPr>
              <w:t>Nacional: National Theatre Live</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4</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Coordinación de Producción en Espacios Públicos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 xml:space="preserve">Apoyo en la logística y equipamiento (Portería de </w:t>
            </w:r>
            <w:r>
              <w:rPr>
                <w:rFonts w:ascii="Verdana" w:hAnsi="Verdana" w:cs="Tahoma"/>
                <w:noProof/>
                <w:sz w:val="22"/>
                <w:szCs w:val="22"/>
                <w:lang w:val="es-ES"/>
              </w:rPr>
              <w:t>g</w:t>
            </w:r>
            <w:r w:rsidRPr="00032ABD">
              <w:rPr>
                <w:rFonts w:ascii="Verdana" w:hAnsi="Verdana" w:cs="Tahoma"/>
                <w:noProof/>
                <w:sz w:val="22"/>
                <w:szCs w:val="22"/>
                <w:lang w:val="es-ES"/>
              </w:rPr>
              <w:t>r</w:t>
            </w:r>
            <w:r>
              <w:rPr>
                <w:rFonts w:ascii="Verdana" w:hAnsi="Verdana" w:cs="Tahoma"/>
                <w:noProof/>
                <w:sz w:val="22"/>
                <w:szCs w:val="22"/>
                <w:lang w:val="es-ES"/>
              </w:rPr>
              <w:t>a</w:t>
            </w:r>
            <w:r w:rsidRPr="00032ABD">
              <w:rPr>
                <w:rFonts w:ascii="Verdana" w:hAnsi="Verdana" w:cs="Tahoma"/>
                <w:noProof/>
                <w:sz w:val="22"/>
                <w:szCs w:val="22"/>
                <w:lang w:val="es-ES"/>
              </w:rPr>
              <w:t xml:space="preserve">nd support, carpa, planta de luz, audio, transporte, templetes y sillas) para el Festival Internacional de Cine de la UNAM, Donación UNAM y para la Exposición Fotográfica </w:t>
            </w:r>
            <w:r w:rsidRPr="005238F5">
              <w:rPr>
                <w:rFonts w:ascii="Verdana" w:hAnsi="Verdana" w:cs="Tahoma"/>
                <w:i/>
                <w:noProof/>
                <w:sz w:val="22"/>
                <w:szCs w:val="22"/>
                <w:lang w:val="es-ES"/>
              </w:rPr>
              <w:t>La Fotografía Científica en la Universidad</w:t>
            </w:r>
            <w:r w:rsidRPr="00032ABD">
              <w:rPr>
                <w:rFonts w:ascii="Verdana" w:hAnsi="Verdana" w:cs="Tahoma"/>
                <w:noProof/>
                <w:sz w:val="22"/>
                <w:szCs w:val="22"/>
                <w:lang w:val="es-ES"/>
              </w:rPr>
              <w:t>.</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5</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5F27BB">
            <w:pPr>
              <w:spacing w:after="120"/>
              <w:jc w:val="center"/>
              <w:rPr>
                <w:rFonts w:ascii="Verdana" w:hAnsi="Verdana" w:cs="Tahoma"/>
                <w:noProof/>
                <w:sz w:val="22"/>
                <w:szCs w:val="22"/>
                <w:lang w:val="es-ES"/>
              </w:rPr>
            </w:pPr>
            <w:r>
              <w:rPr>
                <w:rFonts w:ascii="Verdana" w:hAnsi="Verdana" w:cs="Tahoma"/>
                <w:noProof/>
                <w:sz w:val="22"/>
                <w:szCs w:val="22"/>
                <w:lang w:val="es-ES"/>
              </w:rPr>
              <w:t>Coordinación Interinsti</w:t>
            </w:r>
            <w:r w:rsidRPr="00032ABD">
              <w:rPr>
                <w:rFonts w:ascii="Verdana" w:hAnsi="Verdana" w:cs="Tahoma"/>
                <w:noProof/>
                <w:sz w:val="22"/>
                <w:szCs w:val="22"/>
                <w:lang w:val="es-ES"/>
              </w:rPr>
              <w:t>tucional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E366B3" w:rsidRPr="00E366B3" w:rsidRDefault="00E366B3" w:rsidP="00E366B3">
            <w:pPr>
              <w:spacing w:before="120" w:after="120"/>
              <w:rPr>
                <w:rFonts w:ascii="Verdana" w:hAnsi="Verdana" w:cs="Tahoma"/>
                <w:b/>
                <w:noProof/>
                <w:lang w:val="es-ES"/>
              </w:rPr>
            </w:pPr>
            <w:r w:rsidRPr="00E366B3">
              <w:rPr>
                <w:rFonts w:ascii="Verdana" w:hAnsi="Verdana" w:cs="Tahoma"/>
                <w:b/>
                <w:noProof/>
                <w:lang w:val="es-ES"/>
              </w:rPr>
              <w:t>Asuntos Internacionales</w:t>
            </w:r>
          </w:p>
          <w:p w:rsidR="00C76D0B" w:rsidRPr="00DC1DCA" w:rsidRDefault="00C76D0B" w:rsidP="00E366B3">
            <w:pPr>
              <w:pStyle w:val="Prrafodelista"/>
              <w:numPr>
                <w:ilvl w:val="0"/>
                <w:numId w:val="25"/>
              </w:numPr>
              <w:spacing w:before="120" w:after="120"/>
              <w:rPr>
                <w:rFonts w:ascii="Verdana" w:hAnsi="Verdana" w:cs="Tahoma"/>
                <w:noProof/>
                <w:lang w:val="es-ES"/>
              </w:rPr>
            </w:pPr>
            <w:r w:rsidRPr="00DC1DCA">
              <w:rPr>
                <w:rFonts w:ascii="Verdana" w:hAnsi="Verdana" w:cs="Tahoma"/>
                <w:noProof/>
                <w:lang w:val="es-ES"/>
              </w:rPr>
              <w:t>En el marco del Día Mundial de la Filosofía se realizaron varios eventos en los que participaron profesores e investigadores de la UNAM.</w:t>
            </w:r>
          </w:p>
          <w:p w:rsidR="00C76D0B" w:rsidRPr="00E366B3" w:rsidRDefault="00C76D0B" w:rsidP="00E366B3">
            <w:pPr>
              <w:pStyle w:val="Prrafodelista"/>
              <w:numPr>
                <w:ilvl w:val="0"/>
                <w:numId w:val="25"/>
              </w:numPr>
              <w:spacing w:line="276" w:lineRule="auto"/>
              <w:rPr>
                <w:rFonts w:ascii="Verdana" w:hAnsi="Verdana" w:cs="Tahoma"/>
                <w:noProof/>
                <w:sz w:val="22"/>
                <w:szCs w:val="22"/>
                <w:lang w:val="es-ES"/>
              </w:rPr>
            </w:pPr>
            <w:r w:rsidRPr="005E7240">
              <w:rPr>
                <w:rFonts w:ascii="Verdana" w:hAnsi="Verdana" w:cs="Tahoma"/>
                <w:noProof/>
                <w:lang w:val="es-ES"/>
              </w:rPr>
              <w:t xml:space="preserve">Proyección de la película </w:t>
            </w:r>
            <w:r w:rsidRPr="005238F5">
              <w:rPr>
                <w:rFonts w:ascii="Verdana" w:hAnsi="Verdana" w:cs="Tahoma"/>
                <w:i/>
                <w:noProof/>
                <w:lang w:val="es-ES"/>
              </w:rPr>
              <w:t>Ágora</w:t>
            </w:r>
            <w:r w:rsidRPr="005E7240">
              <w:rPr>
                <w:rFonts w:ascii="Verdana" w:hAnsi="Verdana" w:cs="Tahoma"/>
                <w:noProof/>
                <w:lang w:val="es-ES"/>
              </w:rPr>
              <w:t xml:space="preserve"> en el Teatro Esperanza Iris para 500 beneficiarios del Programa Prepa Sí, organizado por la Facultad de Filosofía y Letras.</w:t>
            </w:r>
          </w:p>
          <w:p w:rsidR="00E366B3" w:rsidRDefault="00E366B3" w:rsidP="00E366B3">
            <w:pPr>
              <w:pStyle w:val="Prrafodelista"/>
              <w:numPr>
                <w:ilvl w:val="0"/>
                <w:numId w:val="25"/>
              </w:numPr>
              <w:spacing w:after="120"/>
              <w:rPr>
                <w:rFonts w:ascii="Verdana" w:hAnsi="Verdana" w:cs="Tahoma"/>
                <w:noProof/>
                <w:lang w:val="es-ES"/>
              </w:rPr>
            </w:pPr>
            <w:r w:rsidRPr="006049BA">
              <w:rPr>
                <w:rFonts w:ascii="Verdana" w:hAnsi="Verdana" w:cs="Tahoma"/>
                <w:noProof/>
                <w:lang w:val="es-ES"/>
              </w:rPr>
              <w:t xml:space="preserve">En el marco de los 40 años del exilio argentino en México se conformó un comité coordinador integrado con varias instituciones entre las que destaca la UNAM. </w:t>
            </w:r>
          </w:p>
          <w:p w:rsidR="00E366B3" w:rsidRDefault="00E366B3" w:rsidP="00E366B3">
            <w:pPr>
              <w:pStyle w:val="Prrafodelista"/>
              <w:numPr>
                <w:ilvl w:val="0"/>
                <w:numId w:val="25"/>
              </w:numPr>
              <w:spacing w:after="120"/>
              <w:rPr>
                <w:rFonts w:ascii="Verdana" w:hAnsi="Verdana" w:cs="Tahoma"/>
                <w:noProof/>
                <w:lang w:val="es-ES"/>
              </w:rPr>
            </w:pPr>
            <w:r w:rsidRPr="006049BA">
              <w:rPr>
                <w:rFonts w:ascii="Verdana" w:hAnsi="Verdana" w:cs="Tahoma"/>
                <w:noProof/>
                <w:lang w:val="es-ES"/>
              </w:rPr>
              <w:lastRenderedPageBreak/>
              <w:t>México. Ciudad Refugio. Concierto de canciones del exilio latinoamericano en el Zócalo de la ciudad de México en el marco del Fesival del Centro Histórico. Pariticiparon trovadores, los hijos de los</w:t>
            </w:r>
            <w:r>
              <w:rPr>
                <w:rFonts w:ascii="Verdana" w:hAnsi="Verdana" w:cs="Tahoma"/>
                <w:noProof/>
                <w:lang w:val="es-ES"/>
              </w:rPr>
              <w:t xml:space="preserve"> exiliados y festival de danza.</w:t>
            </w:r>
          </w:p>
          <w:p w:rsidR="00E366B3" w:rsidRDefault="00E366B3" w:rsidP="00E366B3">
            <w:pPr>
              <w:pStyle w:val="Prrafodelista"/>
              <w:numPr>
                <w:ilvl w:val="0"/>
                <w:numId w:val="25"/>
              </w:numPr>
              <w:spacing w:after="120"/>
              <w:rPr>
                <w:rFonts w:ascii="Verdana" w:hAnsi="Verdana" w:cs="Tahoma"/>
                <w:noProof/>
                <w:lang w:val="es-ES"/>
              </w:rPr>
            </w:pPr>
            <w:r w:rsidRPr="006049BA">
              <w:rPr>
                <w:rFonts w:ascii="Verdana" w:hAnsi="Verdana" w:cs="Tahoma"/>
                <w:noProof/>
                <w:lang w:val="es-ES"/>
              </w:rPr>
              <w:t xml:space="preserve">Proyección del documental “Cavallo entre rejas”, de Shula Erenberg, en el Museo Archivo de la Fotografía. </w:t>
            </w:r>
          </w:p>
          <w:p w:rsidR="00E366B3" w:rsidRPr="00032ABD" w:rsidRDefault="00E366B3" w:rsidP="00E366B3">
            <w:pPr>
              <w:pStyle w:val="Prrafodelista"/>
              <w:numPr>
                <w:ilvl w:val="0"/>
                <w:numId w:val="25"/>
              </w:numPr>
              <w:spacing w:line="276" w:lineRule="auto"/>
              <w:rPr>
                <w:rFonts w:ascii="Verdana" w:hAnsi="Verdana" w:cs="Tahoma"/>
                <w:noProof/>
                <w:sz w:val="22"/>
                <w:szCs w:val="22"/>
                <w:lang w:val="es-ES"/>
              </w:rPr>
            </w:pPr>
            <w:r w:rsidRPr="006049BA">
              <w:rPr>
                <w:rFonts w:ascii="Verdana" w:hAnsi="Verdana" w:cs="Tahoma"/>
                <w:noProof/>
                <w:lang w:val="es-ES"/>
              </w:rPr>
              <w:t>Apoyo con la difusión de todas las actividades programadas por la UNAM en el marco de los 40 años del exilio argentino en México. Fuente: Descarga Cultura UNAM.</w:t>
            </w:r>
          </w:p>
        </w:tc>
      </w:tr>
      <w:tr w:rsidR="00C76D0B" w:rsidRPr="00A42D3F"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6</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Divulgación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A42D3F" w:rsidRDefault="00C76D0B" w:rsidP="00DC1DCA">
            <w:pPr>
              <w:pStyle w:val="Prrafodelista"/>
              <w:numPr>
                <w:ilvl w:val="0"/>
                <w:numId w:val="9"/>
              </w:numPr>
              <w:spacing w:before="120" w:after="120"/>
              <w:ind w:left="714" w:hanging="357"/>
              <w:rPr>
                <w:rFonts w:ascii="Verdana" w:hAnsi="Verdana" w:cs="Tahoma"/>
                <w:noProof/>
                <w:lang w:val="es-ES"/>
              </w:rPr>
            </w:pPr>
            <w:r>
              <w:rPr>
                <w:rFonts w:ascii="Verdana" w:hAnsi="Verdana" w:cs="Tahoma"/>
                <w:noProof/>
                <w:lang w:val="es-ES"/>
              </w:rPr>
              <w:t>Participación en</w:t>
            </w:r>
            <w:r w:rsidRPr="00A42D3F">
              <w:rPr>
                <w:rFonts w:ascii="Verdana" w:hAnsi="Verdana" w:cs="Tahoma"/>
                <w:noProof/>
                <w:lang w:val="es-ES"/>
              </w:rPr>
              <w:t xml:space="preserve"> la Feria Internacional del Libro del Palacio de Minería, Fiesta del Libro y la Rosa, Conecta, Día Mundial de la Voz y Plataformas de la imaginación principalmente en Código CDMX, así como en la </w:t>
            </w:r>
            <w:r>
              <w:rPr>
                <w:rFonts w:ascii="Verdana" w:hAnsi="Verdana" w:cs="Tahoma"/>
                <w:noProof/>
                <w:lang w:val="es-ES"/>
              </w:rPr>
              <w:t>P</w:t>
            </w:r>
            <w:r w:rsidRPr="00A42D3F">
              <w:rPr>
                <w:rFonts w:ascii="Verdana" w:hAnsi="Verdana" w:cs="Tahoma"/>
                <w:noProof/>
                <w:lang w:val="es-ES"/>
              </w:rPr>
              <w:t>ágina We</w:t>
            </w:r>
            <w:r w:rsidR="000A71A5">
              <w:rPr>
                <w:rFonts w:ascii="Verdana" w:hAnsi="Verdana" w:cs="Tahoma"/>
                <w:noProof/>
                <w:lang w:val="es-ES"/>
              </w:rPr>
              <w:t>b y materiales impresos en reci</w:t>
            </w:r>
            <w:r w:rsidRPr="00A42D3F">
              <w:rPr>
                <w:rFonts w:ascii="Verdana" w:hAnsi="Verdana" w:cs="Tahoma"/>
                <w:noProof/>
                <w:lang w:val="es-ES"/>
              </w:rPr>
              <w:t>ntos de la SeCult</w:t>
            </w:r>
          </w:p>
          <w:p w:rsidR="00C76D0B" w:rsidRPr="00A42D3F" w:rsidRDefault="00C76D0B" w:rsidP="003367E2">
            <w:pPr>
              <w:pStyle w:val="Prrafodelista"/>
              <w:numPr>
                <w:ilvl w:val="0"/>
                <w:numId w:val="9"/>
              </w:numPr>
              <w:spacing w:after="120"/>
              <w:rPr>
                <w:rFonts w:ascii="Verdana" w:hAnsi="Verdana" w:cs="Tahoma"/>
                <w:noProof/>
                <w:lang w:val="es-ES"/>
              </w:rPr>
            </w:pPr>
            <w:r w:rsidRPr="00A42D3F">
              <w:rPr>
                <w:rFonts w:ascii="Verdana" w:hAnsi="Verdana" w:cs="Tahoma"/>
                <w:noProof/>
                <w:lang w:val="es-ES"/>
              </w:rPr>
              <w:t>Intercambio de información de cartelera cultural</w:t>
            </w:r>
          </w:p>
        </w:tc>
      </w:tr>
      <w:tr w:rsidR="00C76D0B" w:rsidRPr="00884B76"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7</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lang w:val="es-ES"/>
              </w:rPr>
            </w:pPr>
            <w:r>
              <w:rPr>
                <w:rFonts w:ascii="Verdana" w:hAnsi="Verdana" w:cs="Tahoma"/>
                <w:noProof/>
                <w:lang w:val="es-ES"/>
              </w:rPr>
              <w:t>Asesoría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Default="00C76D0B" w:rsidP="00DC1DCA">
            <w:pPr>
              <w:spacing w:before="120" w:after="120"/>
              <w:rPr>
                <w:rFonts w:ascii="Verdana" w:hAnsi="Verdana" w:cs="Tahoma"/>
                <w:noProof/>
                <w:lang w:val="es-ES"/>
              </w:rPr>
            </w:pPr>
            <w:r>
              <w:rPr>
                <w:rFonts w:ascii="Verdana" w:hAnsi="Verdana" w:cs="Tahoma"/>
                <w:noProof/>
                <w:lang w:val="es-ES"/>
              </w:rPr>
              <w:t xml:space="preserve">Colaboración con la </w:t>
            </w:r>
            <w:r w:rsidRPr="00884B76">
              <w:rPr>
                <w:rFonts w:ascii="Verdana" w:hAnsi="Verdana" w:cs="Tahoma"/>
                <w:noProof/>
                <w:lang w:val="es-ES"/>
              </w:rPr>
              <w:t>Direc</w:t>
            </w:r>
            <w:r>
              <w:rPr>
                <w:rFonts w:ascii="Verdana" w:hAnsi="Verdana" w:cs="Tahoma"/>
                <w:noProof/>
                <w:lang w:val="es-ES"/>
              </w:rPr>
              <w:t xml:space="preserve">ción </w:t>
            </w:r>
            <w:r w:rsidRPr="00884B76">
              <w:rPr>
                <w:rFonts w:ascii="Verdana" w:hAnsi="Verdana" w:cs="Tahoma"/>
                <w:noProof/>
                <w:lang w:val="es-ES"/>
              </w:rPr>
              <w:t>General de Atención a la Comunidad</w:t>
            </w:r>
            <w:r>
              <w:rPr>
                <w:rFonts w:ascii="Verdana" w:hAnsi="Verdana" w:cs="Tahoma"/>
                <w:noProof/>
                <w:lang w:val="es-ES"/>
              </w:rPr>
              <w:t xml:space="preserve"> de la UNAM </w:t>
            </w:r>
            <w:r>
              <w:rPr>
                <w:rFonts w:ascii="Verdana" w:hAnsi="Verdana" w:cs="Tahoma"/>
                <w:b/>
                <w:noProof/>
                <w:lang w:val="es-ES"/>
              </w:rPr>
              <w:t>(DGACO</w:t>
            </w:r>
            <w:r w:rsidRPr="00884B76">
              <w:rPr>
                <w:rFonts w:ascii="Verdana" w:hAnsi="Verdana" w:cs="Tahoma"/>
                <w:b/>
                <w:noProof/>
                <w:lang w:val="es-ES"/>
              </w:rPr>
              <w:t>)</w:t>
            </w:r>
            <w:r>
              <w:rPr>
                <w:rFonts w:ascii="Verdana" w:hAnsi="Verdana" w:cs="Tahoma"/>
                <w:b/>
                <w:noProof/>
                <w:lang w:val="es-ES"/>
              </w:rPr>
              <w:t xml:space="preserve"> </w:t>
            </w:r>
            <w:r>
              <w:rPr>
                <w:rFonts w:ascii="Verdana" w:hAnsi="Verdana" w:cs="Tahoma"/>
                <w:noProof/>
                <w:lang w:val="es-ES"/>
              </w:rPr>
              <w:t>en:</w:t>
            </w:r>
          </w:p>
          <w:p w:rsidR="00C76D0B" w:rsidRDefault="00C76D0B" w:rsidP="003367E2">
            <w:pPr>
              <w:pStyle w:val="Prrafodelista"/>
              <w:numPr>
                <w:ilvl w:val="0"/>
                <w:numId w:val="13"/>
              </w:numPr>
              <w:spacing w:after="120"/>
              <w:rPr>
                <w:rFonts w:ascii="Verdana" w:hAnsi="Verdana" w:cs="Tahoma"/>
                <w:noProof/>
                <w:lang w:val="es-ES"/>
              </w:rPr>
            </w:pPr>
            <w:r>
              <w:rPr>
                <w:rFonts w:ascii="Verdana" w:hAnsi="Verdana" w:cs="Tahoma"/>
                <w:noProof/>
                <w:lang w:val="es-ES"/>
              </w:rPr>
              <w:t>Concurso de Oratoria y Debate Público de la Ciudad de México 2016 llevada a cabo en el anfiteatro Simón Bolívar perteneciente a la UNAM.</w:t>
            </w:r>
          </w:p>
          <w:p w:rsidR="00C76D0B" w:rsidRPr="00884B76" w:rsidRDefault="00C76D0B" w:rsidP="003367E2">
            <w:pPr>
              <w:pStyle w:val="Prrafodelista"/>
              <w:numPr>
                <w:ilvl w:val="0"/>
                <w:numId w:val="13"/>
              </w:numPr>
              <w:spacing w:after="120"/>
              <w:rPr>
                <w:rFonts w:ascii="Verdana" w:hAnsi="Verdana" w:cs="Tahoma"/>
                <w:noProof/>
                <w:lang w:val="es-ES"/>
              </w:rPr>
            </w:pPr>
            <w:r>
              <w:rPr>
                <w:rFonts w:ascii="Verdana" w:hAnsi="Verdana" w:cs="Tahoma"/>
                <w:noProof/>
                <w:lang w:val="es-ES"/>
              </w:rPr>
              <w:t xml:space="preserve">Conferencia sobre derechos culturales por parte del Secretario de Cultura, Eduardo Vázquez Martín, en el marco del </w:t>
            </w:r>
            <w:r w:rsidRPr="00884B76">
              <w:rPr>
                <w:rFonts w:ascii="Verdana" w:hAnsi="Verdana" w:cs="Tahoma"/>
                <w:noProof/>
                <w:lang w:val="es-ES"/>
              </w:rPr>
              <w:t>9° Encuentro de Responsables de Actividades Culturales y Asuntos Estudiantiles de la UNAM</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2123E0" w:rsidP="003367E2">
            <w:pPr>
              <w:spacing w:after="120"/>
              <w:jc w:val="center"/>
              <w:rPr>
                <w:rFonts w:ascii="Verdana" w:hAnsi="Verdana" w:cs="Tahoma"/>
                <w:noProof/>
                <w:sz w:val="20"/>
                <w:szCs w:val="20"/>
                <w:lang w:val="es-ES"/>
              </w:rPr>
            </w:pPr>
            <w:r>
              <w:rPr>
                <w:rFonts w:ascii="Verdana" w:hAnsi="Verdana" w:cs="Tahoma"/>
                <w:noProof/>
                <w:sz w:val="20"/>
                <w:szCs w:val="20"/>
                <w:lang w:val="es-ES"/>
              </w:rPr>
              <w:t>8</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PROCINE</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 xml:space="preserve">El Festival Internacional de Cine de la UNAM </w:t>
            </w:r>
            <w:r w:rsidRPr="00032ABD">
              <w:rPr>
                <w:rFonts w:ascii="Verdana" w:hAnsi="Verdana" w:cs="Tahoma"/>
                <w:b/>
                <w:noProof/>
                <w:sz w:val="22"/>
                <w:szCs w:val="22"/>
                <w:lang w:val="es-ES"/>
              </w:rPr>
              <w:t xml:space="preserve">(FICUNAM) </w:t>
            </w:r>
            <w:r w:rsidRPr="00032ABD">
              <w:rPr>
                <w:rFonts w:ascii="Verdana" w:hAnsi="Verdana" w:cs="Tahoma"/>
                <w:noProof/>
                <w:sz w:val="22"/>
                <w:szCs w:val="22"/>
                <w:lang w:val="es-ES"/>
              </w:rPr>
              <w:t>ha recibido apoyo en la logística y difusión en las últimas ediciones y ha participado en la convocatoria de apoyo a Festivales y muestras de cine de la Ciudad de México que convoca este fideicomiso.</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2123E0" w:rsidP="003367E2">
            <w:pPr>
              <w:spacing w:after="120"/>
              <w:jc w:val="center"/>
              <w:rPr>
                <w:rFonts w:ascii="Verdana" w:hAnsi="Verdana" w:cs="Tahoma"/>
                <w:noProof/>
                <w:sz w:val="20"/>
                <w:szCs w:val="20"/>
                <w:lang w:val="es-ES"/>
              </w:rPr>
            </w:pPr>
            <w:r>
              <w:rPr>
                <w:rFonts w:ascii="Verdana" w:hAnsi="Verdana" w:cs="Tahoma"/>
                <w:noProof/>
                <w:sz w:val="20"/>
                <w:szCs w:val="20"/>
                <w:lang w:val="es-ES"/>
              </w:rPr>
              <w:t>9</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Operación de la Orquesta Filarmónica de la Ciudad de México</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Sin colaboraciones previas</w:t>
            </w:r>
          </w:p>
        </w:tc>
      </w:tr>
    </w:tbl>
    <w:p w:rsidR="00D8392E" w:rsidRDefault="009A264A" w:rsidP="00FC0BBF">
      <w:pPr>
        <w:jc w:val="center"/>
      </w:pPr>
      <w:r w:rsidRPr="00FC0BBF">
        <w:br w:type="page"/>
      </w:r>
    </w:p>
    <w:p w:rsidR="00D8392E" w:rsidRDefault="00D8392E" w:rsidP="00D8392E">
      <w:pPr>
        <w:spacing w:before="240"/>
        <w:jc w:val="center"/>
        <w:rPr>
          <w:b/>
          <w:color w:val="A5A5A5"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8392E" w:rsidRPr="00D8392E" w:rsidRDefault="00D8392E" w:rsidP="00D8392E">
      <w:pPr>
        <w:spacing w:before="240"/>
        <w:rPr>
          <w:b/>
          <w:color w:val="A5A5A5"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C0BBF" w:rsidRPr="00D8392E" w:rsidRDefault="00FC0BBF" w:rsidP="00D8392E">
      <w:pPr>
        <w:jc w:val="center"/>
      </w:pPr>
      <w:r w:rsidRPr="00FC0BBF">
        <w:rPr>
          <w:b/>
          <w:color w:val="A5A5A5" w:themeColor="accent3"/>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SECULT – UNAM</w:t>
      </w:r>
    </w:p>
    <w:p w:rsidR="00FC0BBF" w:rsidRDefault="00D8392E" w:rsidP="00D8392E">
      <w:pPr>
        <w:jc w:val="cente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PROP</w:t>
      </w:r>
      <w:r w:rsidR="00FC0BBF" w:rsidRPr="00FC0BBF">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UESTAS DE COLABORACIÓN</w:t>
      </w:r>
    </w:p>
    <w:p w:rsidR="00D8392E" w:rsidRPr="00FC0BBF" w:rsidRDefault="00D8392E" w:rsidP="00D8392E">
      <w:pPr>
        <w:jc w:val="cente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Cuadrculadetablaclara1"/>
        <w:tblpPr w:leftFromText="141" w:rightFromText="141" w:vertAnchor="text" w:tblpXSpec="center" w:tblpY="1"/>
        <w:tblOverlap w:val="never"/>
        <w:tblW w:w="0" w:type="auto"/>
        <w:tblLook w:val="04A0" w:firstRow="1" w:lastRow="0" w:firstColumn="1" w:lastColumn="0" w:noHBand="0" w:noVBand="1"/>
      </w:tblPr>
      <w:tblGrid>
        <w:gridCol w:w="552"/>
        <w:gridCol w:w="3575"/>
        <w:gridCol w:w="8849"/>
      </w:tblGrid>
      <w:tr w:rsidR="002123E0" w:rsidRPr="00032ABD" w:rsidTr="00221D4E">
        <w:trPr>
          <w:trHeight w:val="679"/>
          <w:tblHeader/>
        </w:trPr>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line="276" w:lineRule="auto"/>
              <w:jc w:val="center"/>
              <w:rPr>
                <w:rFonts w:ascii="Verdana" w:hAnsi="Verdana" w:cs="Tahoma"/>
                <w:noProof/>
                <w:sz w:val="20"/>
                <w:szCs w:val="20"/>
                <w:lang w:val="es-ES"/>
              </w:rPr>
            </w:pP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E21FE0" w:rsidRDefault="002123E0" w:rsidP="00221D4E">
            <w:pPr>
              <w:spacing w:after="120" w:line="276" w:lineRule="auto"/>
              <w:jc w:val="center"/>
              <w:rPr>
                <w:rFonts w:ascii="Verdana" w:hAnsi="Verdana" w:cs="Tahoma"/>
                <w:b/>
                <w:noProof/>
                <w:lang w:val="es-ES"/>
              </w:rPr>
            </w:pPr>
            <w:r>
              <w:rPr>
                <w:rFonts w:ascii="Verdana" w:hAnsi="Verdana" w:cs="Tahoma"/>
                <w:b/>
                <w:noProof/>
                <w:lang w:val="es-ES"/>
              </w:rPr>
              <w:t>ÁREA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E21FE0" w:rsidRDefault="002123E0" w:rsidP="00221D4E">
            <w:pPr>
              <w:spacing w:after="120" w:line="276" w:lineRule="auto"/>
              <w:jc w:val="center"/>
              <w:rPr>
                <w:rFonts w:ascii="Verdana" w:hAnsi="Verdana" w:cs="Tahoma"/>
                <w:b/>
                <w:noProof/>
                <w:lang w:val="es-ES"/>
              </w:rPr>
            </w:pPr>
            <w:r w:rsidRPr="00E21FE0">
              <w:rPr>
                <w:rFonts w:ascii="Verdana" w:hAnsi="Verdana" w:cs="Tahoma"/>
                <w:b/>
                <w:noProof/>
                <w:lang w:val="es-ES"/>
              </w:rPr>
              <w:t>ACCIONES</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line="276" w:lineRule="auto"/>
              <w:jc w:val="center"/>
              <w:rPr>
                <w:rFonts w:ascii="Verdana" w:hAnsi="Verdana" w:cs="Tahoma"/>
                <w:noProof/>
                <w:sz w:val="20"/>
                <w:szCs w:val="20"/>
                <w:lang w:val="es-ES"/>
              </w:rPr>
            </w:pPr>
            <w:r>
              <w:rPr>
                <w:rFonts w:ascii="Verdana" w:hAnsi="Verdana" w:cs="Tahoma"/>
                <w:noProof/>
                <w:sz w:val="20"/>
                <w:szCs w:val="20"/>
                <w:lang w:val="es-ES"/>
              </w:rPr>
              <w:t>1</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line="276" w:lineRule="auto"/>
              <w:jc w:val="center"/>
              <w:rPr>
                <w:rFonts w:ascii="Verdana" w:hAnsi="Verdana" w:cs="Tahoma"/>
                <w:noProof/>
                <w:sz w:val="22"/>
                <w:szCs w:val="22"/>
                <w:lang w:val="es-ES"/>
              </w:rPr>
            </w:pPr>
            <w:r w:rsidRPr="00032ABD">
              <w:rPr>
                <w:rFonts w:ascii="Verdana" w:hAnsi="Verdana" w:cs="Tahoma"/>
                <w:noProof/>
                <w:sz w:val="22"/>
                <w:szCs w:val="22"/>
                <w:lang w:val="es-ES"/>
              </w:rPr>
              <w:t>Coordinación de Vinculación Cultural Comunitaria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64B8C" w:rsidRDefault="00C64B8C" w:rsidP="00C64B8C">
            <w:pPr>
              <w:spacing w:line="276" w:lineRule="auto"/>
              <w:rPr>
                <w:rFonts w:ascii="Verdana" w:hAnsi="Verdana" w:cs="Tahoma"/>
                <w:b/>
                <w:noProof/>
                <w:lang w:val="es-ES"/>
              </w:rPr>
            </w:pPr>
            <w:r w:rsidRPr="00C64B8C">
              <w:rPr>
                <w:rFonts w:ascii="Verdana" w:hAnsi="Verdana" w:cs="Tahoma"/>
                <w:b/>
                <w:noProof/>
                <w:lang w:val="es-ES"/>
              </w:rPr>
              <w:t>Fomento a la lectura</w:t>
            </w:r>
          </w:p>
          <w:p w:rsidR="00C64B8C" w:rsidRPr="00C64B8C" w:rsidRDefault="00C64B8C" w:rsidP="00C64B8C">
            <w:pPr>
              <w:spacing w:line="276" w:lineRule="auto"/>
              <w:rPr>
                <w:rFonts w:ascii="Verdana" w:hAnsi="Verdana" w:cs="Tahoma"/>
                <w:b/>
                <w:noProof/>
                <w:lang w:val="es-ES"/>
              </w:rPr>
            </w:pPr>
          </w:p>
          <w:p w:rsidR="008746F2" w:rsidRDefault="008746F2" w:rsidP="008746F2">
            <w:pPr>
              <w:pStyle w:val="Prrafodelista"/>
              <w:numPr>
                <w:ilvl w:val="0"/>
                <w:numId w:val="26"/>
              </w:numPr>
              <w:spacing w:line="276" w:lineRule="auto"/>
              <w:rPr>
                <w:rFonts w:ascii="Verdana" w:hAnsi="Verdana" w:cs="Tahoma"/>
                <w:noProof/>
                <w:lang w:val="es-ES"/>
              </w:rPr>
            </w:pPr>
            <w:r w:rsidRPr="008746F2">
              <w:rPr>
                <w:rFonts w:ascii="Verdana" w:hAnsi="Verdana" w:cs="Tahoma"/>
                <w:noProof/>
                <w:lang w:val="es-ES"/>
              </w:rPr>
              <w:t>XVIII Feria Internacional del Libro del Palacio de Minería</w:t>
            </w:r>
          </w:p>
          <w:p w:rsidR="008746F2" w:rsidRPr="0095695E" w:rsidRDefault="008746F2" w:rsidP="008746F2">
            <w:pPr>
              <w:pStyle w:val="Prrafodelista"/>
              <w:numPr>
                <w:ilvl w:val="0"/>
                <w:numId w:val="26"/>
              </w:numPr>
              <w:spacing w:before="120" w:after="160" w:line="276" w:lineRule="auto"/>
              <w:jc w:val="left"/>
              <w:rPr>
                <w:rFonts w:ascii="Verdana" w:hAnsi="Verdana" w:cs="Tahoma"/>
                <w:noProof/>
                <w:sz w:val="22"/>
                <w:szCs w:val="22"/>
                <w:lang w:val="es-ES"/>
              </w:rPr>
            </w:pPr>
            <w:r w:rsidRPr="0095695E">
              <w:rPr>
                <w:rFonts w:ascii="Verdana" w:hAnsi="Verdana" w:cs="Tahoma"/>
                <w:noProof/>
                <w:sz w:val="22"/>
                <w:szCs w:val="22"/>
                <w:lang w:val="es-ES"/>
              </w:rPr>
              <w:t>La Fiesta del Libro y la Rosa</w:t>
            </w:r>
          </w:p>
          <w:p w:rsidR="008746F2" w:rsidRPr="0095695E" w:rsidRDefault="008746F2" w:rsidP="008746F2">
            <w:pPr>
              <w:pStyle w:val="Prrafodelista"/>
              <w:numPr>
                <w:ilvl w:val="0"/>
                <w:numId w:val="26"/>
              </w:numPr>
              <w:spacing w:after="160" w:line="276" w:lineRule="auto"/>
              <w:jc w:val="left"/>
              <w:rPr>
                <w:rFonts w:ascii="Verdana" w:hAnsi="Verdana" w:cs="Tahoma"/>
                <w:noProof/>
                <w:sz w:val="22"/>
                <w:szCs w:val="22"/>
                <w:lang w:val="es-ES"/>
              </w:rPr>
            </w:pPr>
            <w:r w:rsidRPr="0095695E">
              <w:rPr>
                <w:rFonts w:ascii="Verdana" w:hAnsi="Verdana" w:cs="Tahoma"/>
                <w:noProof/>
                <w:sz w:val="22"/>
                <w:szCs w:val="22"/>
                <w:lang w:val="es-ES"/>
              </w:rPr>
              <w:t>Gran Remate de Libros en el Auditorio Nacional</w:t>
            </w:r>
          </w:p>
          <w:p w:rsidR="008746F2" w:rsidRPr="0095695E" w:rsidRDefault="008746F2" w:rsidP="008746F2">
            <w:pPr>
              <w:pStyle w:val="Prrafodelista"/>
              <w:numPr>
                <w:ilvl w:val="0"/>
                <w:numId w:val="26"/>
              </w:numPr>
              <w:spacing w:after="160" w:line="276" w:lineRule="auto"/>
              <w:jc w:val="left"/>
              <w:rPr>
                <w:rFonts w:ascii="Verdana" w:hAnsi="Verdana" w:cs="Tahoma"/>
                <w:noProof/>
                <w:sz w:val="22"/>
                <w:szCs w:val="22"/>
                <w:lang w:val="es-ES"/>
              </w:rPr>
            </w:pPr>
            <w:r w:rsidRPr="0095695E">
              <w:rPr>
                <w:rFonts w:ascii="Verdana" w:hAnsi="Verdana" w:cs="Tahoma"/>
                <w:noProof/>
                <w:sz w:val="22"/>
                <w:szCs w:val="22"/>
                <w:lang w:val="es-ES"/>
              </w:rPr>
              <w:t>Programación cultural de la FIL CDMX</w:t>
            </w:r>
          </w:p>
          <w:p w:rsidR="008746F2" w:rsidRDefault="008746F2" w:rsidP="008746F2">
            <w:pPr>
              <w:pStyle w:val="Prrafodelista"/>
              <w:numPr>
                <w:ilvl w:val="0"/>
                <w:numId w:val="26"/>
              </w:numPr>
              <w:spacing w:after="160" w:line="276" w:lineRule="auto"/>
              <w:jc w:val="left"/>
              <w:rPr>
                <w:rFonts w:ascii="Verdana" w:hAnsi="Verdana" w:cs="Tahoma"/>
                <w:noProof/>
                <w:sz w:val="22"/>
                <w:szCs w:val="22"/>
                <w:lang w:val="es-ES"/>
              </w:rPr>
            </w:pPr>
            <w:r w:rsidRPr="0095695E">
              <w:rPr>
                <w:rFonts w:ascii="Verdana" w:hAnsi="Verdana" w:cs="Tahoma"/>
                <w:noProof/>
                <w:sz w:val="22"/>
                <w:szCs w:val="22"/>
                <w:lang w:val="es-ES"/>
              </w:rPr>
              <w:t>Supervisión y evaluación del PACM</w:t>
            </w:r>
            <w:r>
              <w:rPr>
                <w:rFonts w:ascii="Verdana" w:hAnsi="Verdana" w:cs="Tahoma"/>
                <w:noProof/>
                <w:sz w:val="22"/>
                <w:szCs w:val="22"/>
                <w:lang w:val="es-ES"/>
              </w:rPr>
              <w:t>y</w:t>
            </w:r>
            <w:r w:rsidRPr="0095695E">
              <w:rPr>
                <w:rFonts w:ascii="Verdana" w:hAnsi="Verdana" w:cs="Tahoma"/>
                <w:noProof/>
                <w:sz w:val="22"/>
                <w:szCs w:val="22"/>
                <w:lang w:val="es-ES"/>
              </w:rPr>
              <w:t>C</w:t>
            </w:r>
          </w:p>
          <w:p w:rsidR="008746F2" w:rsidRPr="008746F2" w:rsidRDefault="008746F2" w:rsidP="008746F2">
            <w:pPr>
              <w:pStyle w:val="Prrafodelista"/>
              <w:spacing w:line="276" w:lineRule="auto"/>
              <w:rPr>
                <w:rFonts w:ascii="Verdana" w:hAnsi="Verdana" w:cs="Tahoma"/>
                <w:noProof/>
                <w:lang w:val="es-ES"/>
              </w:rPr>
            </w:pP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Centro Cultural Ollin Yoliztli</w:t>
            </w:r>
            <w:r w:rsidRPr="002123E0">
              <w:rPr>
                <w:rFonts w:ascii="Verdana" w:hAnsi="Verdana" w:cs="Tahoma"/>
                <w:b/>
                <w:noProof/>
                <w:lang w:val="es-ES"/>
              </w:rPr>
              <w:tab/>
            </w:r>
          </w:p>
          <w:p w:rsidR="002123E0" w:rsidRDefault="002123E0" w:rsidP="001207B2">
            <w:pPr>
              <w:pStyle w:val="Prrafodelista"/>
              <w:spacing w:line="276" w:lineRule="auto"/>
              <w:rPr>
                <w:rFonts w:ascii="Verdana" w:hAnsi="Verdana" w:cs="Tahoma"/>
                <w:noProof/>
                <w:lang w:val="es-ES"/>
              </w:rPr>
            </w:pPr>
          </w:p>
          <w:p w:rsidR="002123E0" w:rsidRPr="00BE3FF0" w:rsidRDefault="00DF4E4B"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Proponer un p</w:t>
            </w:r>
            <w:r w:rsidR="002123E0" w:rsidRPr="00BE3FF0">
              <w:rPr>
                <w:rFonts w:ascii="Verdana" w:hAnsi="Verdana" w:cs="Tahoma"/>
                <w:noProof/>
                <w:lang w:val="es-ES"/>
              </w:rPr>
              <w:t>rograma de movilidad académica de alumnos y personal docente entre instituciones</w:t>
            </w:r>
          </w:p>
          <w:p w:rsidR="002123E0" w:rsidRPr="00BE3FF0" w:rsidRDefault="00474134"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Intercambio</w:t>
            </w:r>
            <w:r w:rsidR="002123E0" w:rsidRPr="00BE3FF0">
              <w:rPr>
                <w:rFonts w:ascii="Verdana" w:hAnsi="Verdana" w:cs="Tahoma"/>
                <w:noProof/>
                <w:lang w:val="es-ES"/>
              </w:rPr>
              <w:t xml:space="preserve"> de elencos artísticos</w:t>
            </w:r>
          </w:p>
          <w:p w:rsidR="002123E0" w:rsidRPr="00BE3FF0" w:rsidRDefault="00DF4E4B"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Impulsar el acceso</w:t>
            </w:r>
            <w:r w:rsidR="002123E0" w:rsidRPr="00BE3FF0">
              <w:rPr>
                <w:rFonts w:ascii="Verdana" w:hAnsi="Verdana" w:cs="Tahoma"/>
                <w:noProof/>
                <w:lang w:val="es-ES"/>
              </w:rPr>
              <w:t xml:space="preserve"> a cursos, clases magistrales, actualización docente, etc.</w:t>
            </w:r>
          </w:p>
          <w:p w:rsidR="002123E0" w:rsidRPr="00BE3FF0" w:rsidRDefault="00DF4E4B"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Planear una r</w:t>
            </w:r>
            <w:r w:rsidR="002123E0" w:rsidRPr="00BE3FF0">
              <w:rPr>
                <w:rFonts w:ascii="Verdana" w:hAnsi="Verdana" w:cs="Tahoma"/>
                <w:noProof/>
                <w:lang w:val="es-ES"/>
              </w:rPr>
              <w:t>uta de presentaciones y acceso a foros de la UNAM</w:t>
            </w:r>
          </w:p>
          <w:p w:rsidR="002123E0" w:rsidRPr="00BE3FF0" w:rsidRDefault="00373F2F"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Ejecutar p</w:t>
            </w:r>
            <w:r w:rsidR="002123E0" w:rsidRPr="00BE3FF0">
              <w:rPr>
                <w:rFonts w:ascii="Verdana" w:hAnsi="Verdana" w:cs="Tahoma"/>
                <w:noProof/>
                <w:lang w:val="es-ES"/>
              </w:rPr>
              <w:t>royectos artísticos conjuntos</w:t>
            </w:r>
          </w:p>
          <w:p w:rsidR="002123E0" w:rsidRPr="00BE3FF0" w:rsidRDefault="00373F2F"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Fomentar la realización</w:t>
            </w:r>
            <w:r w:rsidR="002123E0" w:rsidRPr="00BE3FF0">
              <w:rPr>
                <w:rFonts w:ascii="Verdana" w:hAnsi="Verdana" w:cs="Tahoma"/>
                <w:noProof/>
                <w:lang w:val="es-ES"/>
              </w:rPr>
              <w:t xml:space="preserve"> de servicio social</w:t>
            </w:r>
          </w:p>
          <w:p w:rsidR="002123E0" w:rsidRPr="00BE3FF0" w:rsidRDefault="002123E0" w:rsidP="00BE3FF0">
            <w:pPr>
              <w:pStyle w:val="Prrafodelista"/>
              <w:numPr>
                <w:ilvl w:val="0"/>
                <w:numId w:val="29"/>
              </w:numPr>
              <w:spacing w:line="276" w:lineRule="auto"/>
              <w:rPr>
                <w:rFonts w:ascii="Verdana" w:hAnsi="Verdana" w:cs="Tahoma"/>
                <w:noProof/>
                <w:lang w:val="es-ES"/>
              </w:rPr>
            </w:pPr>
            <w:r w:rsidRPr="00BE3FF0">
              <w:rPr>
                <w:rFonts w:ascii="Verdana" w:hAnsi="Verdana" w:cs="Tahoma"/>
                <w:noProof/>
                <w:lang w:val="es-ES"/>
              </w:rPr>
              <w:t>Posicionar juntos el Día Internacional de la Danza</w:t>
            </w:r>
          </w:p>
          <w:p w:rsidR="002123E0" w:rsidRDefault="002123E0" w:rsidP="002123E0">
            <w:pPr>
              <w:spacing w:line="276" w:lineRule="auto"/>
              <w:rPr>
                <w:rFonts w:ascii="Verdana" w:hAnsi="Verdana" w:cs="Tahoma"/>
                <w:noProof/>
                <w:lang w:val="es-ES"/>
              </w:rPr>
            </w:pP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Red de Faros de la Ciudad de México</w:t>
            </w:r>
          </w:p>
          <w:p w:rsidR="002123E0" w:rsidRPr="002123E0" w:rsidRDefault="002123E0" w:rsidP="002123E0">
            <w:pPr>
              <w:spacing w:line="276" w:lineRule="auto"/>
              <w:rPr>
                <w:rFonts w:ascii="Verdana" w:hAnsi="Verdana" w:cs="Tahoma"/>
                <w:b/>
                <w:noProof/>
                <w:lang w:val="es-ES"/>
              </w:rPr>
            </w:pPr>
          </w:p>
          <w:p w:rsidR="001207B2" w:rsidRDefault="002123E0" w:rsidP="002123E0">
            <w:pPr>
              <w:spacing w:line="276" w:lineRule="auto"/>
              <w:rPr>
                <w:rFonts w:ascii="Verdana" w:hAnsi="Verdana" w:cs="Tahoma"/>
                <w:noProof/>
                <w:lang w:val="es-ES"/>
              </w:rPr>
            </w:pPr>
            <w:r w:rsidRPr="002123E0">
              <w:rPr>
                <w:rFonts w:ascii="Verdana" w:hAnsi="Verdana" w:cs="Tahoma"/>
                <w:b/>
                <w:noProof/>
                <w:lang w:val="es-ES"/>
              </w:rPr>
              <w:t>ORIENTE</w:t>
            </w:r>
            <w:r w:rsidRPr="002123E0">
              <w:rPr>
                <w:rFonts w:ascii="Verdana" w:hAnsi="Verdana" w:cs="Tahoma"/>
                <w:noProof/>
                <w:lang w:val="es-ES"/>
              </w:rPr>
              <w:tab/>
            </w:r>
          </w:p>
          <w:p w:rsidR="00E35A91" w:rsidRDefault="00E35A91" w:rsidP="002123E0">
            <w:pPr>
              <w:spacing w:line="276" w:lineRule="auto"/>
              <w:rPr>
                <w:rFonts w:ascii="Verdana" w:hAnsi="Verdana" w:cs="Tahoma"/>
                <w:noProof/>
                <w:lang w:val="es-ES"/>
              </w:rPr>
            </w:pPr>
          </w:p>
          <w:p w:rsidR="002123E0" w:rsidRPr="00BE3FF0" w:rsidRDefault="00373F2F"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Llevar a cabo el p</w:t>
            </w:r>
            <w:r w:rsidR="002123E0" w:rsidRPr="00BE3FF0">
              <w:rPr>
                <w:rFonts w:ascii="Verdana" w:hAnsi="Verdana" w:cs="Tahoma"/>
                <w:noProof/>
                <w:lang w:val="es-ES"/>
              </w:rPr>
              <w:t>réstamo de obra visual para presentarse en la Galería Principal de Faro Oriente</w:t>
            </w:r>
          </w:p>
          <w:p w:rsidR="002123E0" w:rsidRPr="00BE3FF0" w:rsidRDefault="00373F2F"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Presentar proyectos escénico</w:t>
            </w:r>
            <w:r w:rsidR="002123E0" w:rsidRPr="00BE3FF0">
              <w:rPr>
                <w:rFonts w:ascii="Verdana" w:hAnsi="Verdana" w:cs="Tahoma"/>
                <w:noProof/>
                <w:lang w:val="es-ES"/>
              </w:rPr>
              <w:t>s dentro del programa Sábados de Faro y Domingos Infantiles de Faro</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lastRenderedPageBreak/>
              <w:t>Establecer p</w:t>
            </w:r>
            <w:r w:rsidR="002123E0" w:rsidRPr="00BE3FF0">
              <w:rPr>
                <w:rFonts w:ascii="Verdana" w:hAnsi="Verdana" w:cs="Tahoma"/>
                <w:noProof/>
                <w:lang w:val="es-ES"/>
              </w:rPr>
              <w:t>resentaciones OFUNAM dentro del programa Sábados de Faro y Domingos Infantiles del Faro</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Operar el p</w:t>
            </w:r>
            <w:r w:rsidR="002123E0" w:rsidRPr="00BE3FF0">
              <w:rPr>
                <w:rFonts w:ascii="Verdana" w:hAnsi="Verdana" w:cs="Tahoma"/>
                <w:noProof/>
                <w:lang w:val="es-ES"/>
              </w:rPr>
              <w:t>réstamo de películas y documentales del acervo de la Filmoteca de la UNAM para ser exhibidos en el Cineclub del Faro de Oriente</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Coadyuvar a las p</w:t>
            </w:r>
            <w:r w:rsidR="002123E0" w:rsidRPr="00BE3FF0">
              <w:rPr>
                <w:rFonts w:ascii="Verdana" w:hAnsi="Verdana" w:cs="Tahoma"/>
                <w:noProof/>
                <w:lang w:val="es-ES"/>
              </w:rPr>
              <w:t>resentaciones de libros editados por la UNAM y narradores orales para las actividades de fomento a la lectura de la Biblioteca Alejandro Aura</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Proponer la d</w:t>
            </w:r>
            <w:r w:rsidR="002123E0" w:rsidRPr="00BE3FF0">
              <w:rPr>
                <w:rFonts w:ascii="Verdana" w:hAnsi="Verdana" w:cs="Tahoma"/>
                <w:noProof/>
                <w:lang w:val="es-ES"/>
              </w:rPr>
              <w:t>onación de películas y documentales del acervo de la UNAM para el área audiovisual de la Biblioteca Alejandro Aura</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Realizar</w:t>
            </w:r>
            <w:r w:rsidR="002123E0" w:rsidRPr="00BE3FF0">
              <w:rPr>
                <w:rFonts w:ascii="Verdana" w:hAnsi="Verdana" w:cs="Tahoma"/>
                <w:noProof/>
                <w:lang w:val="es-ES"/>
              </w:rPr>
              <w:t xml:space="preserve"> talleres, conferencias, cursos, clínicas, conferencias magistrales, pláticas, conservatorios, seminarios, etcétera por parte de la UNAM o el otorgamiento de becas en diferentes temas</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Apoyar el</w:t>
            </w:r>
            <w:r w:rsidR="002123E0" w:rsidRPr="00BE3FF0">
              <w:rPr>
                <w:rFonts w:ascii="Verdana" w:hAnsi="Verdana" w:cs="Tahoma"/>
                <w:noProof/>
                <w:lang w:val="es-ES"/>
              </w:rPr>
              <w:t xml:space="preserve"> servicio social y </w:t>
            </w:r>
            <w:r w:rsidRPr="00BE3FF0">
              <w:rPr>
                <w:rFonts w:ascii="Verdana" w:hAnsi="Verdana" w:cs="Tahoma"/>
                <w:noProof/>
                <w:lang w:val="es-ES"/>
              </w:rPr>
              <w:t xml:space="preserve">los </w:t>
            </w:r>
            <w:r w:rsidR="002123E0" w:rsidRPr="00BE3FF0">
              <w:rPr>
                <w:rFonts w:ascii="Verdana" w:hAnsi="Verdana" w:cs="Tahoma"/>
                <w:noProof/>
                <w:lang w:val="es-ES"/>
              </w:rPr>
              <w:t>proyectos de titulación relacionados con la gestión y promoción cultural</w:t>
            </w:r>
          </w:p>
          <w:p w:rsidR="002123E0" w:rsidRPr="00BE3FF0" w:rsidRDefault="00DC1F8E" w:rsidP="00BE3FF0">
            <w:pPr>
              <w:pStyle w:val="Prrafodelista"/>
              <w:numPr>
                <w:ilvl w:val="0"/>
                <w:numId w:val="30"/>
              </w:numPr>
              <w:spacing w:line="276" w:lineRule="auto"/>
              <w:rPr>
                <w:rFonts w:ascii="Verdana" w:hAnsi="Verdana" w:cs="Tahoma"/>
                <w:noProof/>
                <w:lang w:val="es-ES"/>
              </w:rPr>
            </w:pPr>
            <w:r w:rsidRPr="00BE3FF0">
              <w:rPr>
                <w:rFonts w:ascii="Verdana" w:hAnsi="Verdana" w:cs="Tahoma"/>
                <w:noProof/>
                <w:lang w:val="es-ES"/>
              </w:rPr>
              <w:t>Intercambiar</w:t>
            </w:r>
            <w:r w:rsidR="002123E0" w:rsidRPr="00BE3FF0">
              <w:rPr>
                <w:rFonts w:ascii="Verdana" w:hAnsi="Verdana" w:cs="Tahoma"/>
                <w:noProof/>
                <w:lang w:val="es-ES"/>
              </w:rPr>
              <w:t xml:space="preserve"> el</w:t>
            </w:r>
            <w:r w:rsidR="000A71A5" w:rsidRPr="00BE3FF0">
              <w:rPr>
                <w:rFonts w:ascii="Verdana" w:hAnsi="Verdana" w:cs="Tahoma"/>
                <w:noProof/>
                <w:lang w:val="es-ES"/>
              </w:rPr>
              <w:t>encos escénicos, musicales o es</w:t>
            </w:r>
            <w:r w:rsidR="002123E0" w:rsidRPr="00BE3FF0">
              <w:rPr>
                <w:rFonts w:ascii="Verdana" w:hAnsi="Verdana" w:cs="Tahoma"/>
                <w:noProof/>
                <w:lang w:val="es-ES"/>
              </w:rPr>
              <w:t>p</w:t>
            </w:r>
            <w:r w:rsidR="000A71A5" w:rsidRPr="00BE3FF0">
              <w:rPr>
                <w:rFonts w:ascii="Verdana" w:hAnsi="Verdana" w:cs="Tahoma"/>
                <w:noProof/>
                <w:lang w:val="es-ES"/>
              </w:rPr>
              <w:t>a</w:t>
            </w:r>
            <w:r w:rsidR="002123E0" w:rsidRPr="00BE3FF0">
              <w:rPr>
                <w:rFonts w:ascii="Verdana" w:hAnsi="Verdana" w:cs="Tahoma"/>
                <w:noProof/>
                <w:lang w:val="es-ES"/>
              </w:rPr>
              <w:t>cios de exhibición</w:t>
            </w:r>
          </w:p>
          <w:p w:rsidR="002123E0" w:rsidRPr="002123E0" w:rsidRDefault="002123E0" w:rsidP="002123E0">
            <w:pPr>
              <w:spacing w:line="276" w:lineRule="auto"/>
              <w:rPr>
                <w:rFonts w:ascii="Verdana" w:hAnsi="Verdana" w:cs="Tahoma"/>
                <w:noProof/>
                <w:lang w:val="es-ES"/>
              </w:rPr>
            </w:pPr>
          </w:p>
          <w:p w:rsidR="00E35A91" w:rsidRDefault="002123E0" w:rsidP="002123E0">
            <w:pPr>
              <w:spacing w:line="276" w:lineRule="auto"/>
              <w:rPr>
                <w:rFonts w:ascii="Verdana" w:hAnsi="Verdana" w:cs="Tahoma"/>
                <w:b/>
                <w:noProof/>
                <w:lang w:val="es-ES"/>
              </w:rPr>
            </w:pPr>
            <w:r w:rsidRPr="002123E0">
              <w:rPr>
                <w:rFonts w:ascii="Verdana" w:hAnsi="Verdana" w:cs="Tahoma"/>
                <w:b/>
                <w:noProof/>
                <w:lang w:val="es-ES"/>
              </w:rPr>
              <w:t>MILPA ALTA</w:t>
            </w: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ab/>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1. Programar servicio social y prácticas profesionales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2. Disponer de presentaciones de exámenes profesionales en las instalaciones del FARO en las carreras de canto, composición, educación musical, instrumentista, piano, etnomusicología, teatro y actuación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3. Retomar el proyecto Creación de Microempresas Sociales en el FARO Milpa Alta con la Facultad de Ingeniería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4. Realizar y apoyar las presentaciones y/o exámenes que provengan de la Escuela Nacional de Música de la UNAM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5. Colaborar en la Convención Nacional de Artes Circenses para realizar una replica en la Delegación de Milpa Alta, en el marco del Festival de Pantomima, Circo y Clown 2017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lastRenderedPageBreak/>
              <w:t xml:space="preserve">6. Elaborar cápsulas de dos minutos para radio UNAM sobre la oferta del FARO Milpa Alta </w:t>
            </w:r>
          </w:p>
          <w:p w:rsidR="002732BB"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 xml:space="preserve">7. Realizar talleres, conferencias, cursos, clínicas, conferencias magistrales, pláticas, conservatorios, seminarios, etcétera por parte de la UNAM o el otorgamiento de becas en diferentes temas en las instalaciones del FARO Milpa Alta </w:t>
            </w:r>
          </w:p>
          <w:p w:rsidR="00474134" w:rsidRPr="002732BB" w:rsidRDefault="002732BB" w:rsidP="00BE3FF0">
            <w:pPr>
              <w:spacing w:line="276" w:lineRule="auto"/>
              <w:ind w:left="357"/>
              <w:rPr>
                <w:rFonts w:ascii="Verdana" w:hAnsi="Verdana" w:cs="Tahoma"/>
                <w:noProof/>
                <w:lang w:val="es-ES"/>
              </w:rPr>
            </w:pPr>
            <w:r w:rsidRPr="002732BB">
              <w:rPr>
                <w:rFonts w:ascii="Verdana" w:hAnsi="Verdana" w:cs="Tahoma"/>
                <w:noProof/>
                <w:lang w:val="es-ES"/>
              </w:rPr>
              <w:t>8. El FARO Milpa Alta, se propone como sede alterna de intercambios estudiantiles que colaboren con la formación artística en artes, artesanías y oficios.</w:t>
            </w:r>
          </w:p>
          <w:p w:rsidR="002732BB" w:rsidRDefault="002732BB" w:rsidP="002732BB">
            <w:pPr>
              <w:spacing w:line="276" w:lineRule="auto"/>
              <w:rPr>
                <w:rFonts w:ascii="Verdana" w:hAnsi="Verdana" w:cs="Tahoma"/>
                <w:b/>
                <w:noProof/>
                <w:lang w:val="es-ES"/>
              </w:rPr>
            </w:pPr>
          </w:p>
          <w:p w:rsidR="00474134" w:rsidRDefault="00474134" w:rsidP="00474134">
            <w:pPr>
              <w:spacing w:line="276" w:lineRule="auto"/>
              <w:rPr>
                <w:rFonts w:ascii="Verdana" w:hAnsi="Verdana" w:cs="Tahoma"/>
                <w:b/>
                <w:noProof/>
                <w:lang w:val="es-ES"/>
              </w:rPr>
            </w:pPr>
            <w:r w:rsidRPr="00474134">
              <w:rPr>
                <w:rFonts w:ascii="Verdana" w:hAnsi="Verdana" w:cs="Tahoma"/>
                <w:b/>
                <w:noProof/>
                <w:lang w:val="es-ES"/>
              </w:rPr>
              <w:t xml:space="preserve">INDIOS VERDES </w:t>
            </w:r>
          </w:p>
          <w:p w:rsidR="00E35A91" w:rsidRPr="00474134" w:rsidRDefault="00E35A91" w:rsidP="00474134">
            <w:pPr>
              <w:spacing w:line="276" w:lineRule="auto"/>
              <w:rPr>
                <w:rFonts w:ascii="Verdana" w:hAnsi="Verdana" w:cs="Tahoma"/>
                <w:b/>
                <w:noProof/>
                <w:lang w:val="es-ES"/>
              </w:rPr>
            </w:pPr>
          </w:p>
          <w:p w:rsidR="00474134" w:rsidRP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1. Copias de material audiovisual para muestra de cine en el Faro Indios Verdes 2. Espacio en la radio para menciones de cartelera cultural y quehacer del Faro Indios </w:t>
            </w:r>
            <w:r>
              <w:rPr>
                <w:rFonts w:ascii="Verdana" w:hAnsi="Verdana" w:cs="Tahoma"/>
                <w:noProof/>
                <w:lang w:val="es-ES"/>
              </w:rPr>
              <w:t>Verdes.</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3. Difusión de cápsulas promocionales de talleres Faro Indios Verdes en redes sociales y TV UNAM. </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4. Apoyo en radio y TV 8vo. Aniversario Faro Indios Verdes </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5. Difusión de programación mensual en portal web. </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6. Recitales de alumnos de la Facultad de Música </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7. Exposiciones de obra de los alumnos de la Facultad de Arte y Diseño </w:t>
            </w:r>
          </w:p>
          <w:p w:rsidR="00474134" w:rsidRDefault="00474134" w:rsidP="00BE3FF0">
            <w:pPr>
              <w:spacing w:line="276" w:lineRule="auto"/>
              <w:ind w:left="357"/>
              <w:rPr>
                <w:rFonts w:ascii="Verdana" w:hAnsi="Verdana" w:cs="Tahoma"/>
                <w:noProof/>
                <w:lang w:val="es-ES"/>
              </w:rPr>
            </w:pPr>
            <w:r w:rsidRPr="00474134">
              <w:rPr>
                <w:rFonts w:ascii="Verdana" w:hAnsi="Verdana" w:cs="Tahoma"/>
                <w:noProof/>
                <w:lang w:val="es-ES"/>
              </w:rPr>
              <w:t xml:space="preserve">8. Presentaciones de libros </w:t>
            </w:r>
            <w:r w:rsidR="00242B59">
              <w:rPr>
                <w:rFonts w:ascii="Verdana" w:hAnsi="Verdana" w:cs="Tahoma"/>
                <w:noProof/>
                <w:lang w:val="es-ES"/>
              </w:rPr>
              <w:t xml:space="preserve">de </w:t>
            </w:r>
            <w:r w:rsidRPr="00474134">
              <w:rPr>
                <w:rFonts w:ascii="Verdana" w:hAnsi="Verdana" w:cs="Tahoma"/>
                <w:noProof/>
                <w:lang w:val="es-ES"/>
              </w:rPr>
              <w:t xml:space="preserve">las diferentes facultades </w:t>
            </w:r>
          </w:p>
          <w:p w:rsidR="002123E0" w:rsidRDefault="00474134" w:rsidP="00BE3FF0">
            <w:pPr>
              <w:spacing w:line="276" w:lineRule="auto"/>
              <w:ind w:left="357"/>
              <w:rPr>
                <w:rFonts w:ascii="Verdana" w:hAnsi="Verdana" w:cs="Tahoma"/>
                <w:noProof/>
                <w:lang w:val="es-ES"/>
              </w:rPr>
            </w:pPr>
            <w:r w:rsidRPr="00474134">
              <w:rPr>
                <w:rFonts w:ascii="Verdana" w:hAnsi="Verdana" w:cs="Tahoma"/>
                <w:noProof/>
                <w:lang w:val="es-ES"/>
              </w:rPr>
              <w:t>9. Conferencias de las diversas Facultades e institutos de Investigación</w:t>
            </w:r>
          </w:p>
          <w:p w:rsidR="00AF29EF" w:rsidRDefault="00AF29EF" w:rsidP="00BE3FF0">
            <w:pPr>
              <w:spacing w:line="276" w:lineRule="auto"/>
              <w:ind w:left="357"/>
              <w:rPr>
                <w:rFonts w:ascii="Verdana" w:hAnsi="Verdana" w:cs="Tahoma"/>
                <w:noProof/>
                <w:lang w:val="es-ES"/>
              </w:rPr>
            </w:pPr>
          </w:p>
          <w:p w:rsidR="00AF29EF" w:rsidRDefault="00AF29EF" w:rsidP="00AF29EF">
            <w:pPr>
              <w:spacing w:after="120"/>
              <w:jc w:val="left"/>
              <w:rPr>
                <w:rFonts w:ascii="Verdana" w:hAnsi="Verdana" w:cs="Tahoma"/>
                <w:b/>
                <w:noProof/>
                <w:sz w:val="22"/>
                <w:szCs w:val="22"/>
                <w:lang w:val="es-ES"/>
              </w:rPr>
            </w:pPr>
            <w:r w:rsidRPr="006E4BF1">
              <w:rPr>
                <w:rFonts w:ascii="Verdana" w:hAnsi="Verdana" w:cs="Tahoma"/>
                <w:b/>
                <w:noProof/>
                <w:sz w:val="22"/>
                <w:szCs w:val="22"/>
                <w:lang w:val="es-ES"/>
              </w:rPr>
              <w:t>Asuntos indígenas</w:t>
            </w:r>
          </w:p>
          <w:p w:rsidR="00AF29EF" w:rsidRPr="003367E2" w:rsidRDefault="00AF29EF" w:rsidP="00AF29EF">
            <w:pPr>
              <w:spacing w:line="276" w:lineRule="auto"/>
              <w:ind w:left="357"/>
              <w:rPr>
                <w:rFonts w:ascii="Verdana" w:hAnsi="Verdana" w:cs="Tahoma"/>
                <w:noProof/>
                <w:lang w:val="es-ES"/>
              </w:rPr>
            </w:pPr>
            <w:r w:rsidRPr="006E4BF1">
              <w:rPr>
                <w:rFonts w:ascii="Verdana" w:hAnsi="Verdana" w:cs="Tahoma"/>
                <w:noProof/>
                <w:lang w:val="es-ES"/>
              </w:rPr>
              <w:t>A través del Programa Universitario de Estudios de la Diversidad Cultural Interculturalidad PUIC</w:t>
            </w:r>
            <w:r>
              <w:rPr>
                <w:rFonts w:ascii="Verdana" w:hAnsi="Verdana" w:cs="Tahoma"/>
                <w:noProof/>
                <w:lang w:val="es-ES"/>
              </w:rPr>
              <w:t>-UNAM</w:t>
            </w:r>
            <w:r w:rsidRPr="006E4BF1">
              <w:rPr>
                <w:rFonts w:ascii="Verdana" w:hAnsi="Verdana" w:cs="Tahoma"/>
                <w:noProof/>
                <w:lang w:val="es-ES"/>
              </w:rPr>
              <w:t xml:space="preserve">, continuar organizando, en términos de logística, planeación y diseño, el Día Internacional de la Lengua Materna </w:t>
            </w:r>
            <w:r>
              <w:rPr>
                <w:rFonts w:ascii="Verdana" w:hAnsi="Verdana" w:cs="Tahoma"/>
                <w:noProof/>
                <w:lang w:val="es-ES"/>
              </w:rPr>
              <w:t>y</w:t>
            </w:r>
            <w:r w:rsidRPr="006E4BF1">
              <w:rPr>
                <w:rFonts w:ascii="Verdana" w:hAnsi="Verdana" w:cs="Tahoma"/>
                <w:noProof/>
                <w:lang w:val="es-ES"/>
              </w:rPr>
              <w:t xml:space="preserve"> la Fiesta de las Culturas Indígenas, Pueblos y Barrios Originarios de la Ciudad de México </w:t>
            </w:r>
            <w:r w:rsidRPr="006E4BF1">
              <w:rPr>
                <w:rFonts w:ascii="Verdana" w:hAnsi="Verdana" w:cs="Tahoma"/>
                <w:noProof/>
                <w:lang w:val="es-ES"/>
              </w:rPr>
              <w:lastRenderedPageBreak/>
              <w:t>con actividades como foros de discus</w:t>
            </w:r>
            <w:r>
              <w:rPr>
                <w:rFonts w:ascii="Verdana" w:hAnsi="Verdana" w:cs="Tahoma"/>
                <w:noProof/>
                <w:lang w:val="es-ES"/>
              </w:rPr>
              <w:t xml:space="preserve">ión, presentaciones de libros </w:t>
            </w:r>
            <w:r w:rsidRPr="006E4BF1">
              <w:rPr>
                <w:rFonts w:ascii="Verdana" w:hAnsi="Verdana" w:cs="Tahoma"/>
                <w:noProof/>
                <w:lang w:val="es-ES"/>
              </w:rPr>
              <w:t>y conversatorios sobre el tema indígena</w:t>
            </w:r>
            <w:r>
              <w:rPr>
                <w:rFonts w:ascii="Verdana" w:hAnsi="Verdana" w:cs="Tahoma"/>
                <w:noProof/>
                <w:lang w:val="es-ES"/>
              </w:rPr>
              <w:t>.</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2</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lang w:val="es-ES"/>
              </w:rPr>
            </w:pPr>
            <w:r>
              <w:rPr>
                <w:rFonts w:ascii="Verdana" w:hAnsi="Verdana" w:cs="Tahoma"/>
                <w:noProof/>
                <w:lang w:val="es-ES"/>
              </w:rPr>
              <w:t>Coordinación de Patrimonio Histórico, Artístico y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EA2F75" w:rsidRDefault="002F5FF8" w:rsidP="008327EC">
            <w:pPr>
              <w:spacing w:before="120" w:after="120"/>
              <w:rPr>
                <w:rFonts w:ascii="Verdana" w:hAnsi="Verdana" w:cs="Tahoma"/>
                <w:noProof/>
                <w:lang w:val="es-ES"/>
              </w:rPr>
            </w:pPr>
            <w:r w:rsidRPr="002F5FF8">
              <w:rPr>
                <w:rFonts w:ascii="Verdana" w:hAnsi="Verdana" w:cs="Tahoma"/>
                <w:noProof/>
                <w:lang w:val="es-ES"/>
              </w:rPr>
              <w:t>Llevar a cabo investigaciones co</w:t>
            </w:r>
            <w:bookmarkStart w:id="0" w:name="_GoBack"/>
            <w:bookmarkEnd w:id="0"/>
            <w:r w:rsidRPr="002F5FF8">
              <w:rPr>
                <w:rFonts w:ascii="Verdana" w:hAnsi="Verdana" w:cs="Tahoma"/>
                <w:noProof/>
                <w:lang w:val="es-ES"/>
              </w:rPr>
              <w:t>njuntas en materia de Patrimonio Cultural y Natural de la Ciudad de México</w:t>
            </w:r>
            <w:r w:rsidR="00617776">
              <w:rPr>
                <w:rFonts w:ascii="Verdana" w:hAnsi="Verdana" w:cs="Tahoma"/>
                <w:noProof/>
                <w:lang w:val="es-ES"/>
              </w:rPr>
              <w:t xml:space="preserve"> con lo</w:t>
            </w:r>
            <w:r w:rsidR="00EA2F75">
              <w:rPr>
                <w:rFonts w:ascii="Verdana" w:hAnsi="Verdana" w:cs="Tahoma"/>
                <w:noProof/>
                <w:lang w:val="es-ES"/>
              </w:rPr>
              <w:t>s siguientes in</w:t>
            </w:r>
            <w:r w:rsidR="00EB7725">
              <w:rPr>
                <w:rFonts w:ascii="Verdana" w:hAnsi="Verdana" w:cs="Tahoma"/>
                <w:noProof/>
                <w:lang w:val="es-ES"/>
              </w:rPr>
              <w:t>s</w:t>
            </w:r>
            <w:r w:rsidR="00617776">
              <w:rPr>
                <w:rFonts w:ascii="Verdana" w:hAnsi="Verdana" w:cs="Tahoma"/>
                <w:noProof/>
                <w:lang w:val="es-ES"/>
              </w:rPr>
              <w:t>titutos</w:t>
            </w:r>
            <w:r w:rsidR="00EA2F75">
              <w:rPr>
                <w:rFonts w:ascii="Verdana" w:hAnsi="Verdana" w:cs="Tahoma"/>
                <w:noProof/>
                <w:lang w:val="es-ES"/>
              </w:rPr>
              <w:t>:</w:t>
            </w:r>
          </w:p>
          <w:p w:rsidR="002F5FF8" w:rsidRPr="002F5FF8" w:rsidRDefault="002F5FF8" w:rsidP="008327EC">
            <w:pPr>
              <w:spacing w:before="120" w:after="120"/>
              <w:rPr>
                <w:rFonts w:ascii="Verdana" w:hAnsi="Verdana" w:cs="Tahoma"/>
                <w:noProof/>
                <w:lang w:val="es-ES"/>
              </w:rPr>
            </w:pPr>
            <w:r>
              <w:rPr>
                <w:rFonts w:ascii="Verdana" w:hAnsi="Verdana" w:cs="Tahoma"/>
                <w:noProof/>
                <w:lang w:val="es-ES"/>
              </w:rPr>
              <w:t>Coordinación de Humanidades de la UNAM</w:t>
            </w:r>
            <w:r w:rsidR="00EA2F75">
              <w:rPr>
                <w:rFonts w:ascii="Verdana" w:hAnsi="Verdana" w:cs="Tahoma"/>
                <w:noProof/>
                <w:lang w:val="es-ES"/>
              </w:rPr>
              <w:t xml:space="preserve">, </w:t>
            </w:r>
            <w:r>
              <w:rPr>
                <w:rFonts w:ascii="Verdana" w:hAnsi="Verdana" w:cs="Tahoma"/>
                <w:noProof/>
                <w:lang w:val="es-ES"/>
              </w:rPr>
              <w:t xml:space="preserve">Facultad de Filosofía y Letras, Facultad de Arquitectura, </w:t>
            </w:r>
            <w:r w:rsidR="00EA2F75">
              <w:rPr>
                <w:rFonts w:ascii="Verdana" w:hAnsi="Verdana" w:cs="Tahoma"/>
                <w:noProof/>
                <w:lang w:val="es-ES"/>
              </w:rPr>
              <w:t>F</w:t>
            </w:r>
            <w:r>
              <w:rPr>
                <w:rFonts w:ascii="Verdana" w:hAnsi="Verdana" w:cs="Tahoma"/>
                <w:noProof/>
                <w:lang w:val="es-ES"/>
              </w:rPr>
              <w:t>acultad de Ciencias Políti</w:t>
            </w:r>
            <w:r w:rsidR="00EA2F75">
              <w:rPr>
                <w:rFonts w:ascii="Verdana" w:hAnsi="Verdana" w:cs="Tahoma"/>
                <w:noProof/>
                <w:lang w:val="es-ES"/>
              </w:rPr>
              <w:t>c</w:t>
            </w:r>
            <w:r>
              <w:rPr>
                <w:rFonts w:ascii="Verdana" w:hAnsi="Verdana" w:cs="Tahoma"/>
                <w:noProof/>
                <w:lang w:val="es-ES"/>
              </w:rPr>
              <w:t>as y Sociales, Facultad de Ciencias, el Instituto de Investigaciones Antropológicas,</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Sociales, </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Jurídicas, </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Estéticas</w:t>
            </w:r>
            <w:r w:rsidR="00EB7725">
              <w:rPr>
                <w:rFonts w:ascii="Verdana" w:hAnsi="Verdana" w:cs="Tahoma"/>
                <w:noProof/>
                <w:lang w:val="es-ES"/>
              </w:rPr>
              <w:t>,</w:t>
            </w:r>
            <w:r>
              <w:rPr>
                <w:rFonts w:ascii="Verdana" w:hAnsi="Verdana" w:cs="Tahoma"/>
                <w:noProof/>
                <w:lang w:val="es-ES"/>
              </w:rPr>
              <w:t xml:space="preserve"> con</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Históricas</w:t>
            </w:r>
            <w:r w:rsidR="00EB7725">
              <w:rPr>
                <w:rFonts w:ascii="Verdana" w:hAnsi="Verdana" w:cs="Tahoma"/>
                <w:noProof/>
                <w:lang w:val="es-ES"/>
              </w:rPr>
              <w:t xml:space="preserve"> y con el </w:t>
            </w:r>
            <w:r w:rsidR="00EA2F75">
              <w:rPr>
                <w:rFonts w:ascii="Verdana" w:hAnsi="Verdana" w:cs="Tahoma"/>
                <w:noProof/>
                <w:lang w:val="es-ES"/>
              </w:rPr>
              <w:t>Instituto de Investigaciones Bibliotecológicas y de la Información.</w:t>
            </w:r>
          </w:p>
          <w:p w:rsidR="002F5FF8" w:rsidRDefault="002F5FF8" w:rsidP="002123E0">
            <w:pPr>
              <w:spacing w:after="120"/>
              <w:rPr>
                <w:rFonts w:ascii="Verdana" w:hAnsi="Verdana" w:cs="Tahoma"/>
                <w:b/>
                <w:noProof/>
                <w:lang w:val="es-ES"/>
              </w:rPr>
            </w:pPr>
          </w:p>
          <w:p w:rsidR="002123E0" w:rsidRDefault="002123E0" w:rsidP="002123E0">
            <w:pPr>
              <w:spacing w:after="120"/>
              <w:rPr>
                <w:rFonts w:ascii="Verdana" w:hAnsi="Verdana" w:cs="Tahoma"/>
                <w:noProof/>
                <w:lang w:val="es-ES"/>
              </w:rPr>
            </w:pPr>
            <w:r w:rsidRPr="002123E0">
              <w:rPr>
                <w:rFonts w:ascii="Verdana" w:hAnsi="Verdana" w:cs="Tahoma"/>
                <w:b/>
                <w:noProof/>
                <w:lang w:val="es-ES"/>
              </w:rPr>
              <w:t>Archivo Histórico de la Ciudad de México</w:t>
            </w:r>
            <w:r w:rsidRPr="002123E0">
              <w:rPr>
                <w:rFonts w:ascii="Verdana" w:hAnsi="Verdana" w:cs="Tahoma"/>
                <w:noProof/>
                <w:lang w:val="es-ES"/>
              </w:rPr>
              <w:tab/>
            </w:r>
            <w:r>
              <w:rPr>
                <w:rFonts w:ascii="Verdana" w:hAnsi="Verdana" w:cs="Tahoma"/>
                <w:noProof/>
                <w:lang w:val="es-ES"/>
              </w:rPr>
              <w:t xml:space="preserve"> </w:t>
            </w:r>
          </w:p>
          <w:p w:rsidR="002123E0" w:rsidRDefault="002123E0" w:rsidP="002123E0">
            <w:pPr>
              <w:spacing w:after="120"/>
              <w:rPr>
                <w:rFonts w:ascii="Verdana" w:hAnsi="Verdana" w:cs="Tahoma"/>
                <w:noProof/>
                <w:lang w:val="es-ES"/>
              </w:rPr>
            </w:pPr>
            <w:r>
              <w:rPr>
                <w:rFonts w:ascii="Verdana" w:hAnsi="Verdana" w:cs="Tahoma"/>
                <w:noProof/>
                <w:lang w:val="es-ES"/>
              </w:rPr>
              <w:t>Promover convenios específicos para la r</w:t>
            </w:r>
            <w:r w:rsidRPr="002123E0">
              <w:rPr>
                <w:rFonts w:ascii="Verdana" w:hAnsi="Verdana" w:cs="Tahoma"/>
                <w:noProof/>
                <w:lang w:val="es-ES"/>
              </w:rPr>
              <w:t>ealización de Tesis en el AHCDMX sobre Catalogación de los Acervos Documentales</w:t>
            </w:r>
          </w:p>
          <w:p w:rsidR="002123E0" w:rsidRDefault="002123E0" w:rsidP="002123E0">
            <w:pPr>
              <w:spacing w:after="120"/>
              <w:rPr>
                <w:rFonts w:ascii="Verdana" w:hAnsi="Verdana" w:cs="Tahoma"/>
                <w:b/>
                <w:noProof/>
                <w:lang w:val="es-ES"/>
              </w:rPr>
            </w:pPr>
          </w:p>
          <w:p w:rsidR="002123E0" w:rsidRDefault="002123E0" w:rsidP="002123E0">
            <w:pPr>
              <w:spacing w:after="120"/>
              <w:rPr>
                <w:rFonts w:ascii="Verdana" w:hAnsi="Verdana" w:cs="Tahoma"/>
                <w:b/>
                <w:noProof/>
                <w:lang w:val="es-ES"/>
              </w:rPr>
            </w:pPr>
            <w:r w:rsidRPr="002123E0">
              <w:rPr>
                <w:rFonts w:ascii="Verdana" w:hAnsi="Verdana" w:cs="Tahoma"/>
                <w:b/>
                <w:noProof/>
                <w:lang w:val="es-ES"/>
              </w:rPr>
              <w:t>Museo Archivo de la Fotografía</w:t>
            </w:r>
          </w:p>
          <w:p w:rsidR="00BE3FF0" w:rsidRDefault="000B5A98" w:rsidP="00BE3FF0">
            <w:pPr>
              <w:pStyle w:val="Prrafodelista"/>
              <w:numPr>
                <w:ilvl w:val="0"/>
                <w:numId w:val="27"/>
              </w:numPr>
              <w:spacing w:after="120"/>
              <w:rPr>
                <w:rFonts w:ascii="Verdana" w:hAnsi="Verdana" w:cs="Tahoma"/>
                <w:noProof/>
                <w:lang w:val="es-ES"/>
              </w:rPr>
            </w:pPr>
            <w:r w:rsidRPr="00BE3FF0">
              <w:rPr>
                <w:rFonts w:ascii="Verdana" w:hAnsi="Verdana" w:cs="Tahoma"/>
                <w:noProof/>
                <w:lang w:val="es-ES"/>
              </w:rPr>
              <w:t xml:space="preserve">Construir </w:t>
            </w:r>
            <w:r w:rsidR="002123E0" w:rsidRPr="00BE3FF0">
              <w:rPr>
                <w:rFonts w:ascii="Verdana" w:hAnsi="Verdana" w:cs="Tahoma"/>
                <w:noProof/>
                <w:lang w:val="es-ES"/>
              </w:rPr>
              <w:t>una Caja de Luz en el Corredor de Guatemala</w:t>
            </w:r>
          </w:p>
          <w:p w:rsidR="006049BA" w:rsidRDefault="000B5A98" w:rsidP="006049BA">
            <w:pPr>
              <w:pStyle w:val="Prrafodelista"/>
              <w:numPr>
                <w:ilvl w:val="0"/>
                <w:numId w:val="27"/>
              </w:numPr>
              <w:rPr>
                <w:rFonts w:ascii="Verdana" w:hAnsi="Verdana" w:cs="Tahoma"/>
                <w:noProof/>
                <w:lang w:val="es-ES"/>
              </w:rPr>
            </w:pPr>
            <w:r w:rsidRPr="006049BA">
              <w:rPr>
                <w:rFonts w:ascii="Verdana" w:hAnsi="Verdana" w:cs="Tahoma"/>
                <w:noProof/>
                <w:lang w:val="es-ES"/>
              </w:rPr>
              <w:t>Llevar a cabo un s</w:t>
            </w:r>
            <w:r w:rsidR="002123E0" w:rsidRPr="006049BA">
              <w:rPr>
                <w:rFonts w:ascii="Verdana" w:hAnsi="Verdana" w:cs="Tahoma"/>
                <w:noProof/>
                <w:lang w:val="es-ES"/>
              </w:rPr>
              <w:t>eminario sobre historia de la Ciudad</w:t>
            </w:r>
            <w:r w:rsidR="006049BA" w:rsidRPr="005238F5">
              <w:rPr>
                <w:lang w:val="es-MX"/>
              </w:rPr>
              <w:t xml:space="preserve"> </w:t>
            </w:r>
            <w:r w:rsidR="006049BA" w:rsidRPr="006049BA">
              <w:rPr>
                <w:rFonts w:ascii="Verdana" w:hAnsi="Verdana" w:cs="Tahoma"/>
                <w:noProof/>
                <w:lang w:val="es-ES"/>
              </w:rPr>
              <w:t xml:space="preserve">México. </w:t>
            </w:r>
          </w:p>
          <w:p w:rsidR="006049BA" w:rsidRDefault="006049BA" w:rsidP="006049BA">
            <w:pPr>
              <w:pStyle w:val="Prrafodelista"/>
              <w:numPr>
                <w:ilvl w:val="0"/>
                <w:numId w:val="27"/>
              </w:numPr>
              <w:rPr>
                <w:rFonts w:ascii="Verdana" w:hAnsi="Verdana" w:cs="Tahoma"/>
                <w:noProof/>
                <w:lang w:val="es-ES"/>
              </w:rPr>
            </w:pPr>
            <w:r w:rsidRPr="006049BA">
              <w:rPr>
                <w:rFonts w:ascii="Verdana" w:hAnsi="Verdana" w:cs="Tahoma"/>
                <w:noProof/>
                <w:lang w:val="es-ES"/>
              </w:rPr>
              <w:t>Ciud</w:t>
            </w:r>
            <w:r>
              <w:rPr>
                <w:rFonts w:ascii="Verdana" w:hAnsi="Verdana" w:cs="Tahoma"/>
                <w:noProof/>
                <w:lang w:val="es-ES"/>
              </w:rPr>
              <w:t>ad Refugio. Exposición temporal.</w:t>
            </w:r>
          </w:p>
          <w:p w:rsidR="00122429" w:rsidRDefault="00122429" w:rsidP="00122429">
            <w:pPr>
              <w:rPr>
                <w:rFonts w:ascii="Verdana" w:hAnsi="Verdana" w:cs="Tahoma"/>
                <w:noProof/>
                <w:lang w:val="es-ES"/>
              </w:rPr>
            </w:pPr>
          </w:p>
          <w:p w:rsidR="00122429" w:rsidRPr="00122429" w:rsidRDefault="00122429" w:rsidP="00122429">
            <w:pPr>
              <w:rPr>
                <w:rFonts w:ascii="Verdana" w:hAnsi="Verdana" w:cs="Tahoma"/>
                <w:b/>
                <w:noProof/>
                <w:lang w:val="es-ES"/>
              </w:rPr>
            </w:pPr>
            <w:r w:rsidRPr="00122429">
              <w:rPr>
                <w:rFonts w:ascii="Verdana" w:hAnsi="Verdana" w:cs="Tahoma"/>
                <w:b/>
                <w:noProof/>
                <w:lang w:val="es-ES"/>
              </w:rPr>
              <w:t>JUD Patrimonio</w:t>
            </w:r>
          </w:p>
          <w:p w:rsidR="00122429" w:rsidRDefault="00122429" w:rsidP="00122429">
            <w:pPr>
              <w:rPr>
                <w:rFonts w:ascii="Verdana" w:hAnsi="Verdana" w:cs="Tahoma"/>
                <w:noProof/>
                <w:lang w:val="es-ES"/>
              </w:rPr>
            </w:pPr>
          </w:p>
          <w:p w:rsidR="002123E0" w:rsidRPr="002123E0" w:rsidRDefault="00122429" w:rsidP="00AF29EF">
            <w:pPr>
              <w:pStyle w:val="Prrafodelista"/>
              <w:numPr>
                <w:ilvl w:val="0"/>
                <w:numId w:val="34"/>
              </w:numPr>
              <w:rPr>
                <w:rFonts w:ascii="Verdana" w:hAnsi="Verdana" w:cs="Tahoma"/>
                <w:noProof/>
                <w:lang w:val="es-ES"/>
              </w:rPr>
            </w:pPr>
            <w:r w:rsidRPr="00122429">
              <w:rPr>
                <w:rFonts w:ascii="Verdana" w:hAnsi="Verdana" w:cs="Tahoma"/>
                <w:noProof/>
                <w:lang w:val="es-ES"/>
              </w:rPr>
              <w:t>Solicitud de Declaratoria como Patrimonio Cultural a la Plaza de la Tres Cultura</w:t>
            </w:r>
            <w:r w:rsidR="00EB7093">
              <w:rPr>
                <w:rFonts w:ascii="Verdana" w:hAnsi="Verdana" w:cs="Tahoma"/>
                <w:noProof/>
                <w:lang w:val="es-ES"/>
              </w:rPr>
              <w:t>s. Tlatelolco, Ciudad de México (p</w:t>
            </w:r>
            <w:r w:rsidR="00EB7093" w:rsidRPr="00EB7093">
              <w:rPr>
                <w:rFonts w:ascii="Verdana" w:hAnsi="Verdana" w:cs="Tahoma"/>
                <w:noProof/>
                <w:lang w:val="es-ES"/>
              </w:rPr>
              <w:t>royecto no oficial y del anterior director del CCUT</w:t>
            </w:r>
            <w:r w:rsidR="00EB7093">
              <w:rPr>
                <w:rFonts w:ascii="Verdana" w:hAnsi="Verdana" w:cs="Tahoma"/>
                <w:noProof/>
                <w:lang w:val="es-ES"/>
              </w:rPr>
              <w:t>).</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3</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Sistema de Teatros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A0590F" w:rsidRDefault="00A0590F" w:rsidP="00A0590F">
            <w:pPr>
              <w:pStyle w:val="Prrafodelista"/>
              <w:numPr>
                <w:ilvl w:val="0"/>
                <w:numId w:val="33"/>
              </w:numPr>
              <w:spacing w:after="120"/>
              <w:rPr>
                <w:rFonts w:ascii="Verdana" w:hAnsi="Verdana" w:cs="Tahoma"/>
                <w:noProof/>
                <w:lang w:val="es-ES"/>
              </w:rPr>
            </w:pPr>
            <w:r>
              <w:rPr>
                <w:rFonts w:ascii="Verdana" w:hAnsi="Verdana" w:cs="Tahoma"/>
                <w:noProof/>
                <w:lang w:val="es-ES"/>
              </w:rPr>
              <w:t>C</w:t>
            </w:r>
            <w:r w:rsidR="000B5A98" w:rsidRPr="00A0590F">
              <w:rPr>
                <w:rFonts w:ascii="Verdana" w:hAnsi="Verdana" w:cs="Tahoma"/>
                <w:noProof/>
                <w:lang w:val="es-ES"/>
              </w:rPr>
              <w:t xml:space="preserve">ontinuar </w:t>
            </w:r>
            <w:r w:rsidR="002123E0" w:rsidRPr="00A0590F">
              <w:rPr>
                <w:rFonts w:ascii="Verdana" w:hAnsi="Verdana" w:cs="Tahoma"/>
                <w:noProof/>
                <w:lang w:val="es-ES"/>
              </w:rPr>
              <w:t xml:space="preserve">con las colaboraciones </w:t>
            </w:r>
            <w:r w:rsidRPr="00A0590F">
              <w:rPr>
                <w:rFonts w:ascii="Verdana" w:hAnsi="Verdana" w:cs="Tahoma"/>
                <w:noProof/>
                <w:lang w:val="es-ES"/>
              </w:rPr>
              <w:t xml:space="preserve"> </w:t>
            </w:r>
            <w:r>
              <w:rPr>
                <w:rFonts w:ascii="Verdana" w:hAnsi="Verdana" w:cs="Tahoma"/>
                <w:noProof/>
                <w:lang w:val="es-ES"/>
              </w:rPr>
              <w:t>(</w:t>
            </w:r>
            <w:r w:rsidRPr="00A0590F">
              <w:rPr>
                <w:rFonts w:ascii="Verdana" w:hAnsi="Verdana" w:cs="Tahoma"/>
                <w:noProof/>
                <w:lang w:val="es-ES"/>
              </w:rPr>
              <w:t>Festival Internacional de Cine de la UNAM</w:t>
            </w:r>
            <w:r>
              <w:rPr>
                <w:rFonts w:ascii="Verdana" w:hAnsi="Verdana" w:cs="Tahoma"/>
                <w:noProof/>
                <w:lang w:val="es-ES"/>
              </w:rPr>
              <w:t xml:space="preserve">) </w:t>
            </w:r>
            <w:r w:rsidR="002123E0" w:rsidRPr="00A0590F">
              <w:rPr>
                <w:rFonts w:ascii="Verdana" w:hAnsi="Verdana" w:cs="Tahoma"/>
                <w:noProof/>
                <w:lang w:val="es-ES"/>
              </w:rPr>
              <w:t>y</w:t>
            </w:r>
            <w:r>
              <w:rPr>
                <w:rFonts w:ascii="Verdana" w:hAnsi="Verdana" w:cs="Tahoma"/>
                <w:noProof/>
                <w:lang w:val="es-ES"/>
              </w:rPr>
              <w:t>,</w:t>
            </w:r>
            <w:r w:rsidR="002123E0" w:rsidRPr="00A0590F">
              <w:rPr>
                <w:rFonts w:ascii="Verdana" w:hAnsi="Verdana" w:cs="Tahoma"/>
                <w:noProof/>
                <w:lang w:val="es-ES"/>
              </w:rPr>
              <w:t xml:space="preserve"> de ser posible, incrementarlas.</w:t>
            </w:r>
            <w:r w:rsidRPr="00A0590F">
              <w:rPr>
                <w:rFonts w:ascii="Verdana" w:hAnsi="Verdana" w:cs="Tahoma"/>
                <w:noProof/>
                <w:lang w:val="es-ES"/>
              </w:rPr>
              <w:t xml:space="preserve"> </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4</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Coordinación de Producción en Espacios Públicos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31598C" w:rsidP="0031598C">
            <w:pPr>
              <w:spacing w:after="120"/>
              <w:jc w:val="left"/>
              <w:rPr>
                <w:rFonts w:ascii="Verdana" w:hAnsi="Verdana" w:cs="Tahoma"/>
                <w:noProof/>
                <w:sz w:val="22"/>
                <w:szCs w:val="22"/>
                <w:lang w:val="es-ES"/>
              </w:rPr>
            </w:pPr>
            <w:r>
              <w:rPr>
                <w:rFonts w:ascii="Verdana" w:hAnsi="Verdana" w:cs="Tahoma"/>
                <w:noProof/>
                <w:sz w:val="22"/>
                <w:szCs w:val="22"/>
                <w:lang w:val="es-ES"/>
              </w:rPr>
              <w:t xml:space="preserve">Presentaciones de la </w:t>
            </w:r>
            <w:r w:rsidR="009513A6" w:rsidRPr="009513A6">
              <w:rPr>
                <w:rFonts w:ascii="Verdana" w:hAnsi="Verdana" w:cs="Tahoma"/>
                <w:noProof/>
                <w:sz w:val="22"/>
                <w:szCs w:val="22"/>
                <w:lang w:val="es-ES"/>
              </w:rPr>
              <w:t>Orque</w:t>
            </w:r>
            <w:r w:rsidR="00242B59">
              <w:rPr>
                <w:rFonts w:ascii="Verdana" w:hAnsi="Verdana" w:cs="Tahoma"/>
                <w:noProof/>
                <w:sz w:val="22"/>
                <w:szCs w:val="22"/>
                <w:lang w:val="es-ES"/>
              </w:rPr>
              <w:t>s</w:t>
            </w:r>
            <w:r w:rsidR="009513A6" w:rsidRPr="009513A6">
              <w:rPr>
                <w:rFonts w:ascii="Verdana" w:hAnsi="Verdana" w:cs="Tahoma"/>
                <w:noProof/>
                <w:sz w:val="22"/>
                <w:szCs w:val="22"/>
                <w:lang w:val="es-ES"/>
              </w:rPr>
              <w:t>ta Típica en los Auditorios</w:t>
            </w:r>
            <w:r>
              <w:rPr>
                <w:rFonts w:ascii="Verdana" w:hAnsi="Verdana" w:cs="Tahoma"/>
                <w:noProof/>
                <w:sz w:val="22"/>
                <w:szCs w:val="22"/>
                <w:lang w:val="es-ES"/>
              </w:rPr>
              <w:t xml:space="preserve"> y espacios</w:t>
            </w:r>
            <w:r w:rsidR="009513A6" w:rsidRPr="009513A6">
              <w:rPr>
                <w:rFonts w:ascii="Verdana" w:hAnsi="Verdana" w:cs="Tahoma"/>
                <w:noProof/>
                <w:sz w:val="22"/>
                <w:szCs w:val="22"/>
                <w:lang w:val="es-ES"/>
              </w:rPr>
              <w:t xml:space="preserve"> de la UNAM</w:t>
            </w:r>
            <w:r w:rsidR="009513A6">
              <w:rPr>
                <w:rFonts w:ascii="Verdana" w:hAnsi="Verdana" w:cs="Tahoma"/>
                <w:noProof/>
                <w:sz w:val="22"/>
                <w:szCs w:val="22"/>
                <w:lang w:val="es-ES"/>
              </w:rPr>
              <w:t>.</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5</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Pr>
                <w:rFonts w:ascii="Verdana" w:hAnsi="Verdana" w:cs="Tahoma"/>
                <w:noProof/>
                <w:sz w:val="22"/>
                <w:szCs w:val="22"/>
                <w:lang w:val="es-ES"/>
              </w:rPr>
              <w:t>Coordinación Insterinsti</w:t>
            </w:r>
            <w:r w:rsidRPr="00032ABD">
              <w:rPr>
                <w:rFonts w:ascii="Verdana" w:hAnsi="Verdana" w:cs="Tahoma"/>
                <w:noProof/>
                <w:sz w:val="22"/>
                <w:szCs w:val="22"/>
                <w:lang w:val="es-ES"/>
              </w:rPr>
              <w:t>tucional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6049BA" w:rsidRPr="006049BA" w:rsidRDefault="006049BA" w:rsidP="006049BA">
            <w:pPr>
              <w:spacing w:after="120"/>
              <w:rPr>
                <w:rFonts w:ascii="Verdana" w:hAnsi="Verdana" w:cs="Tahoma"/>
                <w:b/>
                <w:noProof/>
                <w:lang w:val="es-ES"/>
              </w:rPr>
            </w:pPr>
            <w:r w:rsidRPr="006049BA">
              <w:rPr>
                <w:rFonts w:ascii="Verdana" w:hAnsi="Verdana" w:cs="Tahoma"/>
                <w:b/>
                <w:noProof/>
                <w:lang w:val="es-ES"/>
              </w:rPr>
              <w:t>Proyectos especiales</w:t>
            </w:r>
          </w:p>
          <w:p w:rsidR="006E4BF1" w:rsidRPr="00AF29EF" w:rsidRDefault="006049BA" w:rsidP="00AF29EF">
            <w:pPr>
              <w:spacing w:after="120"/>
              <w:ind w:left="357"/>
              <w:rPr>
                <w:rFonts w:ascii="Verdana" w:hAnsi="Verdana" w:cs="Tahoma"/>
                <w:noProof/>
                <w:lang w:val="es-ES"/>
              </w:rPr>
            </w:pPr>
            <w:r w:rsidRPr="006049BA">
              <w:rPr>
                <w:rFonts w:ascii="Verdana" w:hAnsi="Verdana" w:cs="Tahoma"/>
                <w:noProof/>
                <w:sz w:val="22"/>
                <w:szCs w:val="22"/>
                <w:lang w:val="es-ES"/>
              </w:rPr>
              <w:t xml:space="preserve">1. </w:t>
            </w:r>
            <w:r w:rsidR="00DD45A9" w:rsidRPr="006049BA">
              <w:rPr>
                <w:rFonts w:ascii="Verdana" w:hAnsi="Verdana" w:cs="Tahoma"/>
                <w:noProof/>
                <w:lang w:val="es-ES"/>
              </w:rPr>
              <w:t>En el marco del Día Mundial de la Filosofía realizar varios eventos en los que participan profesor</w:t>
            </w:r>
            <w:r w:rsidR="00E366B3">
              <w:rPr>
                <w:rFonts w:ascii="Verdana" w:hAnsi="Verdana" w:cs="Tahoma"/>
                <w:noProof/>
                <w:lang w:val="es-ES"/>
              </w:rPr>
              <w:t>es e investigadores de la UNAM.</w:t>
            </w:r>
          </w:p>
        </w:tc>
      </w:tr>
      <w:tr w:rsidR="002123E0" w:rsidRPr="00A42D3F"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6</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Divulgación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2123E0" w:rsidRDefault="002123E0" w:rsidP="002123E0">
            <w:pPr>
              <w:spacing w:after="120"/>
              <w:rPr>
                <w:rFonts w:ascii="Verdana" w:hAnsi="Verdana" w:cs="Tahoma"/>
                <w:noProof/>
                <w:lang w:val="es-ES"/>
              </w:rPr>
            </w:pPr>
            <w:r w:rsidRPr="002123E0">
              <w:rPr>
                <w:rFonts w:ascii="Verdana" w:hAnsi="Verdana" w:cs="Tahoma"/>
                <w:noProof/>
                <w:lang w:val="es-ES"/>
              </w:rPr>
              <w:t>Continuar el intercambio de información en materia de cartelera cultural así como el trabajo que se ha mantenido para la divulgación de la Feria Internacional del Libro del Palacio de Minería, la Fiesta del Libro y la Rosa, Conecta, el Día Mundial de la Voz y las Plataformas de la imaginación principalmente en Código CDMX, así como en la Página Web y materiales impresos en recintos de la SeCult.</w:t>
            </w:r>
          </w:p>
        </w:tc>
      </w:tr>
      <w:tr w:rsidR="002123E0" w:rsidRPr="00884B76"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7</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lang w:val="es-ES"/>
              </w:rPr>
            </w:pPr>
            <w:r>
              <w:rPr>
                <w:rFonts w:ascii="Verdana" w:hAnsi="Verdana" w:cs="Tahoma"/>
                <w:noProof/>
                <w:lang w:val="es-ES"/>
              </w:rPr>
              <w:t>Asesoría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EB7725" w:rsidRDefault="002123E0" w:rsidP="00EB7725">
            <w:pPr>
              <w:spacing w:after="120"/>
              <w:rPr>
                <w:rFonts w:ascii="Verdana" w:hAnsi="Verdana" w:cs="Tahoma"/>
                <w:noProof/>
                <w:lang w:val="es-ES"/>
              </w:rPr>
            </w:pPr>
            <w:r w:rsidRPr="00EB7725">
              <w:rPr>
                <w:rFonts w:ascii="Verdana" w:hAnsi="Verdana" w:cs="Tahoma"/>
                <w:noProof/>
                <w:lang w:val="es-ES"/>
              </w:rPr>
              <w:t xml:space="preserve">Continuar con </w:t>
            </w:r>
            <w:r w:rsidR="00EB7725">
              <w:rPr>
                <w:rFonts w:ascii="Verdana" w:hAnsi="Verdana" w:cs="Tahoma"/>
                <w:noProof/>
                <w:lang w:val="es-ES"/>
              </w:rPr>
              <w:t xml:space="preserve">la participación de la </w:t>
            </w:r>
            <w:r w:rsidR="00EB7725" w:rsidRPr="00EB7725">
              <w:rPr>
                <w:rFonts w:ascii="Verdana" w:hAnsi="Verdana" w:cs="Tahoma"/>
                <w:noProof/>
                <w:lang w:val="es-ES"/>
              </w:rPr>
              <w:t>Dirección General de Atención a la Comunidad de la UNAM</w:t>
            </w:r>
            <w:r w:rsidR="00EB7725">
              <w:rPr>
                <w:rFonts w:ascii="Verdana" w:hAnsi="Verdana" w:cs="Tahoma"/>
                <w:noProof/>
                <w:lang w:val="es-ES"/>
              </w:rPr>
              <w:t xml:space="preserve"> en los Co</w:t>
            </w:r>
            <w:r w:rsidR="001B5610">
              <w:rPr>
                <w:rFonts w:ascii="Verdana" w:hAnsi="Verdana" w:cs="Tahoma"/>
                <w:noProof/>
                <w:lang w:val="es-ES"/>
              </w:rPr>
              <w:t>ncursos de Oratoria de Debate Pú</w:t>
            </w:r>
            <w:r w:rsidR="00EB7725">
              <w:rPr>
                <w:rFonts w:ascii="Verdana" w:hAnsi="Verdana" w:cs="Tahoma"/>
                <w:noProof/>
                <w:lang w:val="es-ES"/>
              </w:rPr>
              <w:t>blico CDMX 2017 y 2018.</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8</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PROCINE</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1B5610" w:rsidRDefault="00E406A6" w:rsidP="001B5610">
            <w:pPr>
              <w:pStyle w:val="Prrafodelista"/>
              <w:numPr>
                <w:ilvl w:val="0"/>
                <w:numId w:val="35"/>
              </w:numPr>
              <w:spacing w:after="120"/>
              <w:rPr>
                <w:rFonts w:ascii="Verdana" w:hAnsi="Verdana" w:cs="Tahoma"/>
                <w:noProof/>
                <w:lang w:val="es-ES"/>
              </w:rPr>
            </w:pPr>
            <w:r w:rsidRPr="001B5610">
              <w:rPr>
                <w:rFonts w:ascii="Verdana" w:hAnsi="Verdana" w:cs="Tahoma"/>
                <w:noProof/>
                <w:lang w:val="es-ES"/>
              </w:rPr>
              <w:t>Plantear un c</w:t>
            </w:r>
            <w:r w:rsidR="002123E0" w:rsidRPr="001B5610">
              <w:rPr>
                <w:rFonts w:ascii="Verdana" w:hAnsi="Verdana" w:cs="Tahoma"/>
                <w:noProof/>
                <w:lang w:val="es-ES"/>
              </w:rPr>
              <w:t xml:space="preserve">onvenio </w:t>
            </w:r>
            <w:r w:rsidRPr="001B5610">
              <w:rPr>
                <w:rFonts w:ascii="Verdana" w:hAnsi="Verdana" w:cs="Tahoma"/>
                <w:noProof/>
                <w:lang w:val="es-ES"/>
              </w:rPr>
              <w:t>específico</w:t>
            </w:r>
            <w:r w:rsidR="00EB7725" w:rsidRPr="001B5610">
              <w:rPr>
                <w:rFonts w:ascii="Verdana" w:hAnsi="Verdana" w:cs="Tahoma"/>
                <w:noProof/>
                <w:lang w:val="es-ES"/>
              </w:rPr>
              <w:t xml:space="preserve"> </w:t>
            </w:r>
            <w:r w:rsidR="002123E0" w:rsidRPr="001B5610">
              <w:rPr>
                <w:rFonts w:ascii="Verdana" w:hAnsi="Verdana" w:cs="Tahoma"/>
                <w:noProof/>
                <w:lang w:val="es-ES"/>
              </w:rPr>
              <w:t xml:space="preserve">de colaboración para fomentar y apoyar la preservación de materiales fílmicos y construir el Fondo Ciudad de México </w:t>
            </w:r>
            <w:r w:rsidR="001B5610" w:rsidRPr="001B5610">
              <w:rPr>
                <w:rFonts w:ascii="Verdana" w:hAnsi="Verdana" w:cs="Tahoma"/>
                <w:noProof/>
                <w:lang w:val="es-ES"/>
              </w:rPr>
              <w:t xml:space="preserve">como parte </w:t>
            </w:r>
            <w:r w:rsidR="002123E0" w:rsidRPr="001B5610">
              <w:rPr>
                <w:rFonts w:ascii="Verdana" w:hAnsi="Verdana" w:cs="Tahoma"/>
                <w:noProof/>
                <w:lang w:val="es-ES"/>
              </w:rPr>
              <w:t xml:space="preserve">del acervo de la Filmoteca </w:t>
            </w:r>
            <w:r w:rsidR="001B5610" w:rsidRPr="001B5610">
              <w:rPr>
                <w:rFonts w:ascii="Verdana" w:hAnsi="Verdana" w:cs="Tahoma"/>
                <w:noProof/>
                <w:lang w:val="es-ES"/>
              </w:rPr>
              <w:t xml:space="preserve">de la </w:t>
            </w:r>
            <w:r w:rsidR="002123E0" w:rsidRPr="001B5610">
              <w:rPr>
                <w:rFonts w:ascii="Verdana" w:hAnsi="Verdana" w:cs="Tahoma"/>
                <w:noProof/>
                <w:lang w:val="es-ES"/>
              </w:rPr>
              <w:t xml:space="preserve">UNAM. </w:t>
            </w:r>
          </w:p>
          <w:p w:rsidR="001B5610" w:rsidRDefault="001B5610" w:rsidP="001B5610">
            <w:pPr>
              <w:pStyle w:val="Prrafodelista"/>
              <w:numPr>
                <w:ilvl w:val="0"/>
                <w:numId w:val="35"/>
              </w:numPr>
              <w:spacing w:after="120"/>
              <w:rPr>
                <w:rFonts w:ascii="Verdana" w:hAnsi="Verdana" w:cs="Tahoma"/>
                <w:noProof/>
                <w:lang w:val="es-ES"/>
              </w:rPr>
            </w:pPr>
            <w:r>
              <w:rPr>
                <w:rFonts w:ascii="Verdana" w:hAnsi="Verdana" w:cs="Tahoma"/>
                <w:noProof/>
                <w:lang w:val="es-ES"/>
              </w:rPr>
              <w:t>La difusión y exhibición de cine m</w:t>
            </w:r>
            <w:r w:rsidR="002123E0" w:rsidRPr="001B5610">
              <w:rPr>
                <w:rFonts w:ascii="Verdana" w:hAnsi="Verdana" w:cs="Tahoma"/>
                <w:noProof/>
                <w:lang w:val="es-ES"/>
              </w:rPr>
              <w:t xml:space="preserve">exicano en </w:t>
            </w:r>
            <w:r>
              <w:rPr>
                <w:rFonts w:ascii="Verdana" w:hAnsi="Verdana" w:cs="Tahoma"/>
                <w:noProof/>
                <w:lang w:val="es-ES"/>
              </w:rPr>
              <w:t>los planteles de la Universidad.</w:t>
            </w:r>
          </w:p>
          <w:p w:rsidR="002123E0" w:rsidRPr="001B5610" w:rsidRDefault="001B5610" w:rsidP="001B5610">
            <w:pPr>
              <w:pStyle w:val="Prrafodelista"/>
              <w:numPr>
                <w:ilvl w:val="0"/>
                <w:numId w:val="35"/>
              </w:numPr>
              <w:spacing w:after="120"/>
              <w:rPr>
                <w:rFonts w:ascii="Verdana" w:hAnsi="Verdana" w:cs="Tahoma"/>
                <w:noProof/>
                <w:lang w:val="es-ES"/>
              </w:rPr>
            </w:pPr>
            <w:r>
              <w:rPr>
                <w:rFonts w:ascii="Verdana" w:hAnsi="Verdana" w:cs="Tahoma"/>
                <w:noProof/>
                <w:lang w:val="es-ES"/>
              </w:rPr>
              <w:t>L</w:t>
            </w:r>
            <w:r w:rsidR="002123E0" w:rsidRPr="001B5610">
              <w:rPr>
                <w:rFonts w:ascii="Verdana" w:hAnsi="Verdana" w:cs="Tahoma"/>
                <w:noProof/>
                <w:lang w:val="es-ES"/>
              </w:rPr>
              <w:t>levar a ca</w:t>
            </w:r>
            <w:r w:rsidRPr="001B5610">
              <w:rPr>
                <w:rFonts w:ascii="Verdana" w:hAnsi="Verdana" w:cs="Tahoma"/>
                <w:noProof/>
                <w:lang w:val="es-ES"/>
              </w:rPr>
              <w:t xml:space="preserve">bo algunas actividades de cine </w:t>
            </w:r>
            <w:r w:rsidR="002123E0" w:rsidRPr="001B5610">
              <w:rPr>
                <w:rFonts w:ascii="Verdana" w:hAnsi="Verdana" w:cs="Tahoma"/>
                <w:noProof/>
                <w:lang w:val="es-ES"/>
              </w:rPr>
              <w:t>como talleres, clases magistrales y conferencias.</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9</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Operación de la Orquesta Filarmónica de la Ciudad de México</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AF29EF" w:rsidRDefault="00B876EC" w:rsidP="00AF29EF">
            <w:pPr>
              <w:pStyle w:val="Prrafodelista"/>
              <w:numPr>
                <w:ilvl w:val="0"/>
                <w:numId w:val="36"/>
              </w:numPr>
              <w:spacing w:after="120"/>
              <w:rPr>
                <w:rFonts w:ascii="Verdana" w:hAnsi="Verdana" w:cs="Tahoma"/>
                <w:noProof/>
                <w:lang w:val="es-ES"/>
              </w:rPr>
            </w:pPr>
            <w:r w:rsidRPr="00AF29EF">
              <w:rPr>
                <w:rFonts w:ascii="Verdana" w:hAnsi="Verdana" w:cs="Tahoma"/>
                <w:noProof/>
                <w:lang w:val="es-ES"/>
              </w:rPr>
              <w:t xml:space="preserve">Se busca un trabajo coordinado con la Dirección General de Música de la UNAM para contar con el préstamo de la Sala Nezahualcóyotl, cuando menos una vez al año para la presentación de la orquesta como parte de su aniversario en turno, así como </w:t>
            </w:r>
          </w:p>
          <w:p w:rsidR="002123E0" w:rsidRPr="00AF29EF" w:rsidRDefault="00AF29EF" w:rsidP="00AF29EF">
            <w:pPr>
              <w:pStyle w:val="Prrafodelista"/>
              <w:numPr>
                <w:ilvl w:val="0"/>
                <w:numId w:val="36"/>
              </w:numPr>
              <w:spacing w:after="120"/>
              <w:rPr>
                <w:rFonts w:ascii="Verdana" w:hAnsi="Verdana" w:cs="Tahoma"/>
                <w:noProof/>
                <w:lang w:val="es-ES"/>
              </w:rPr>
            </w:pPr>
            <w:r>
              <w:rPr>
                <w:rFonts w:ascii="Verdana" w:hAnsi="Verdana" w:cs="Tahoma"/>
                <w:noProof/>
                <w:lang w:val="es-ES"/>
              </w:rPr>
              <w:t xml:space="preserve">Analizar </w:t>
            </w:r>
            <w:r w:rsidR="00B876EC" w:rsidRPr="00AF29EF">
              <w:rPr>
                <w:rFonts w:ascii="Verdana" w:hAnsi="Verdana" w:cs="Tahoma"/>
                <w:noProof/>
                <w:lang w:val="es-ES"/>
              </w:rPr>
              <w:t>la posibilidad de institucionalizar la participación de la OFUNAM en un concierto anual en la plancha del Zócalo al lado de la OFCM a partir de 2017.</w:t>
            </w:r>
          </w:p>
        </w:tc>
      </w:tr>
    </w:tbl>
    <w:p w:rsidR="002A2987" w:rsidRDefault="002A2987" w:rsidP="002A2987"/>
    <w:sectPr w:rsidR="002A2987" w:rsidSect="00032ABD">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41" w:rsidRDefault="00202941" w:rsidP="00D8392E">
      <w:pPr>
        <w:spacing w:after="0" w:line="240" w:lineRule="auto"/>
      </w:pPr>
      <w:r>
        <w:separator/>
      </w:r>
    </w:p>
  </w:endnote>
  <w:endnote w:type="continuationSeparator" w:id="0">
    <w:p w:rsidR="00202941" w:rsidRDefault="00202941" w:rsidP="00D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Kait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41" w:rsidRDefault="00202941" w:rsidP="00D8392E">
      <w:pPr>
        <w:spacing w:after="0" w:line="240" w:lineRule="auto"/>
      </w:pPr>
      <w:r>
        <w:separator/>
      </w:r>
    </w:p>
  </w:footnote>
  <w:footnote w:type="continuationSeparator" w:id="0">
    <w:p w:rsidR="00202941" w:rsidRDefault="00202941" w:rsidP="00D8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2E" w:rsidRDefault="00AF29EF" w:rsidP="00D8392E">
    <w:pPr>
      <w:pStyle w:val="Encabezado"/>
      <w:tabs>
        <w:tab w:val="clear" w:pos="4419"/>
        <w:tab w:val="clear" w:pos="8838"/>
        <w:tab w:val="left" w:pos="7455"/>
      </w:tabs>
    </w:pPr>
    <w:r>
      <w:rPr>
        <w:rFonts w:ascii="Times New Roman" w:eastAsia="Times New Roman" w:hAnsi="Times New Roman" w:cs="Times New Roman"/>
        <w:b/>
        <w:noProof/>
        <w:sz w:val="28"/>
        <w:szCs w:val="28"/>
        <w:lang w:eastAsia="es-MX"/>
      </w:rPr>
      <w:drawing>
        <wp:anchor distT="0" distB="0" distL="114300" distR="114300" simplePos="0" relativeHeight="251658240" behindDoc="0" locked="0" layoutInCell="1" allowOverlap="1" wp14:anchorId="38091A3C" wp14:editId="50404D3B">
          <wp:simplePos x="0" y="0"/>
          <wp:positionH relativeFrom="column">
            <wp:posOffset>-47701</wp:posOffset>
          </wp:positionH>
          <wp:positionV relativeFrom="paragraph">
            <wp:posOffset>-303567</wp:posOffset>
          </wp:positionV>
          <wp:extent cx="3075940" cy="742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742950"/>
                  </a:xfrm>
                  <a:prstGeom prst="rect">
                    <a:avLst/>
                  </a:prstGeom>
                  <a:noFill/>
                </pic:spPr>
              </pic:pic>
            </a:graphicData>
          </a:graphic>
          <wp14:sizeRelH relativeFrom="page">
            <wp14:pctWidth>0</wp14:pctWidth>
          </wp14:sizeRelH>
          <wp14:sizeRelV relativeFrom="page">
            <wp14:pctHeight>0</wp14:pctHeight>
          </wp14:sizeRelV>
        </wp:anchor>
      </w:drawing>
    </w:r>
    <w:r w:rsidRPr="00D8392E">
      <w:rPr>
        <w:rFonts w:ascii="Times New Roman" w:eastAsia="Times New Roman" w:hAnsi="Times New Roman" w:cs="Times New Roman"/>
        <w:b/>
        <w:noProof/>
        <w:sz w:val="28"/>
        <w:szCs w:val="28"/>
        <w:lang w:eastAsia="es-MX"/>
      </w:rPr>
      <w:drawing>
        <wp:anchor distT="0" distB="0" distL="114300" distR="114300" simplePos="0" relativeHeight="251659264" behindDoc="0" locked="0" layoutInCell="1" allowOverlap="1" wp14:anchorId="61EA606A" wp14:editId="7781B093">
          <wp:simplePos x="0" y="0"/>
          <wp:positionH relativeFrom="column">
            <wp:posOffset>7994546</wp:posOffset>
          </wp:positionH>
          <wp:positionV relativeFrom="paragraph">
            <wp:posOffset>-198879</wp:posOffset>
          </wp:positionV>
          <wp:extent cx="670560" cy="6375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7540"/>
                  </a:xfrm>
                  <a:prstGeom prst="rect">
                    <a:avLst/>
                  </a:prstGeom>
                  <a:noFill/>
                </pic:spPr>
              </pic:pic>
            </a:graphicData>
          </a:graphic>
          <wp14:sizeRelH relativeFrom="page">
            <wp14:pctWidth>0</wp14:pctWidth>
          </wp14:sizeRelH>
          <wp14:sizeRelV relativeFrom="page">
            <wp14:pctHeight>0</wp14:pctHeight>
          </wp14:sizeRelV>
        </wp:anchor>
      </w:drawing>
    </w:r>
    <w:r w:rsidR="00D8392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313"/>
    <w:multiLevelType w:val="hybridMultilevel"/>
    <w:tmpl w:val="A58A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40648"/>
    <w:multiLevelType w:val="hybridMultilevel"/>
    <w:tmpl w:val="B8F4E5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F74BD"/>
    <w:multiLevelType w:val="hybridMultilevel"/>
    <w:tmpl w:val="9DF07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162AE"/>
    <w:multiLevelType w:val="hybridMultilevel"/>
    <w:tmpl w:val="04405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55754A"/>
    <w:multiLevelType w:val="hybridMultilevel"/>
    <w:tmpl w:val="9210F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986C1A"/>
    <w:multiLevelType w:val="hybridMultilevel"/>
    <w:tmpl w:val="D6FC0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E41BE4"/>
    <w:multiLevelType w:val="hybridMultilevel"/>
    <w:tmpl w:val="0832E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516574"/>
    <w:multiLevelType w:val="hybridMultilevel"/>
    <w:tmpl w:val="BFEC3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BC4D4E"/>
    <w:multiLevelType w:val="hybridMultilevel"/>
    <w:tmpl w:val="5C5CC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691659"/>
    <w:multiLevelType w:val="hybridMultilevel"/>
    <w:tmpl w:val="DA440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97269"/>
    <w:multiLevelType w:val="hybridMultilevel"/>
    <w:tmpl w:val="E832817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F51F0A"/>
    <w:multiLevelType w:val="hybridMultilevel"/>
    <w:tmpl w:val="171E4A4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04A5B"/>
    <w:multiLevelType w:val="hybridMultilevel"/>
    <w:tmpl w:val="A9A23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2A3E39"/>
    <w:multiLevelType w:val="hybridMultilevel"/>
    <w:tmpl w:val="F678063A"/>
    <w:lvl w:ilvl="0" w:tplc="0F86C87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F76DD1"/>
    <w:multiLevelType w:val="hybridMultilevel"/>
    <w:tmpl w:val="D1D09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021641"/>
    <w:multiLevelType w:val="hybridMultilevel"/>
    <w:tmpl w:val="12CA2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6B49AB"/>
    <w:multiLevelType w:val="hybridMultilevel"/>
    <w:tmpl w:val="C7D83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ED7D43"/>
    <w:multiLevelType w:val="hybridMultilevel"/>
    <w:tmpl w:val="72883F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6D747D"/>
    <w:multiLevelType w:val="hybridMultilevel"/>
    <w:tmpl w:val="454CC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CB61D9"/>
    <w:multiLevelType w:val="hybridMultilevel"/>
    <w:tmpl w:val="3ED6E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D4ED3"/>
    <w:multiLevelType w:val="hybridMultilevel"/>
    <w:tmpl w:val="18EC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C04FD"/>
    <w:multiLevelType w:val="hybridMultilevel"/>
    <w:tmpl w:val="0054EF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B661D6"/>
    <w:multiLevelType w:val="hybridMultilevel"/>
    <w:tmpl w:val="B1C0B0EC"/>
    <w:lvl w:ilvl="0" w:tplc="4BC061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165EC"/>
    <w:multiLevelType w:val="hybridMultilevel"/>
    <w:tmpl w:val="180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205E8E"/>
    <w:multiLevelType w:val="hybridMultilevel"/>
    <w:tmpl w:val="C30E7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CE05B9"/>
    <w:multiLevelType w:val="hybridMultilevel"/>
    <w:tmpl w:val="2DCA0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781966"/>
    <w:multiLevelType w:val="hybridMultilevel"/>
    <w:tmpl w:val="37D2C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E77CDC"/>
    <w:multiLevelType w:val="hybridMultilevel"/>
    <w:tmpl w:val="9E98A4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1A1133"/>
    <w:multiLevelType w:val="hybridMultilevel"/>
    <w:tmpl w:val="CCCA1C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E44A3E"/>
    <w:multiLevelType w:val="hybridMultilevel"/>
    <w:tmpl w:val="6E4E350C"/>
    <w:lvl w:ilvl="0" w:tplc="70027F12">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F53F0E"/>
    <w:multiLevelType w:val="hybridMultilevel"/>
    <w:tmpl w:val="3CFAC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87FC3"/>
    <w:multiLevelType w:val="hybridMultilevel"/>
    <w:tmpl w:val="43C65686"/>
    <w:lvl w:ilvl="0" w:tplc="DEB8D1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3E0055"/>
    <w:multiLevelType w:val="hybridMultilevel"/>
    <w:tmpl w:val="C0BC8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61FE7"/>
    <w:multiLevelType w:val="hybridMultilevel"/>
    <w:tmpl w:val="4BEC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36DDC"/>
    <w:multiLevelType w:val="hybridMultilevel"/>
    <w:tmpl w:val="848C7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C45383"/>
    <w:multiLevelType w:val="hybridMultilevel"/>
    <w:tmpl w:val="C936A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2"/>
  </w:num>
  <w:num w:numId="5">
    <w:abstractNumId w:val="29"/>
  </w:num>
  <w:num w:numId="6">
    <w:abstractNumId w:val="15"/>
  </w:num>
  <w:num w:numId="7">
    <w:abstractNumId w:val="14"/>
  </w:num>
  <w:num w:numId="8">
    <w:abstractNumId w:val="12"/>
  </w:num>
  <w:num w:numId="9">
    <w:abstractNumId w:val="32"/>
  </w:num>
  <w:num w:numId="10">
    <w:abstractNumId w:val="10"/>
  </w:num>
  <w:num w:numId="11">
    <w:abstractNumId w:val="31"/>
  </w:num>
  <w:num w:numId="12">
    <w:abstractNumId w:val="16"/>
  </w:num>
  <w:num w:numId="13">
    <w:abstractNumId w:val="26"/>
  </w:num>
  <w:num w:numId="14">
    <w:abstractNumId w:val="33"/>
  </w:num>
  <w:num w:numId="15">
    <w:abstractNumId w:val="17"/>
  </w:num>
  <w:num w:numId="16">
    <w:abstractNumId w:val="13"/>
  </w:num>
  <w:num w:numId="17">
    <w:abstractNumId w:val="22"/>
  </w:num>
  <w:num w:numId="18">
    <w:abstractNumId w:val="28"/>
  </w:num>
  <w:num w:numId="19">
    <w:abstractNumId w:val="20"/>
  </w:num>
  <w:num w:numId="20">
    <w:abstractNumId w:val="3"/>
  </w:num>
  <w:num w:numId="21">
    <w:abstractNumId w:val="25"/>
  </w:num>
  <w:num w:numId="22">
    <w:abstractNumId w:val="5"/>
  </w:num>
  <w:num w:numId="23">
    <w:abstractNumId w:val="19"/>
  </w:num>
  <w:num w:numId="24">
    <w:abstractNumId w:val="7"/>
  </w:num>
  <w:num w:numId="25">
    <w:abstractNumId w:val="24"/>
  </w:num>
  <w:num w:numId="26">
    <w:abstractNumId w:val="9"/>
  </w:num>
  <w:num w:numId="27">
    <w:abstractNumId w:val="4"/>
  </w:num>
  <w:num w:numId="28">
    <w:abstractNumId w:val="30"/>
  </w:num>
  <w:num w:numId="29">
    <w:abstractNumId w:val="0"/>
  </w:num>
  <w:num w:numId="30">
    <w:abstractNumId w:val="21"/>
  </w:num>
  <w:num w:numId="31">
    <w:abstractNumId w:val="1"/>
  </w:num>
  <w:num w:numId="32">
    <w:abstractNumId w:val="34"/>
  </w:num>
  <w:num w:numId="33">
    <w:abstractNumId w:val="35"/>
  </w:num>
  <w:num w:numId="34">
    <w:abstractNumId w:val="8"/>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D"/>
    <w:rsid w:val="00017B82"/>
    <w:rsid w:val="00032ABD"/>
    <w:rsid w:val="00042765"/>
    <w:rsid w:val="00070D15"/>
    <w:rsid w:val="000A71A5"/>
    <w:rsid w:val="000B5A98"/>
    <w:rsid w:val="000C5177"/>
    <w:rsid w:val="000C63EA"/>
    <w:rsid w:val="000D7900"/>
    <w:rsid w:val="001207B2"/>
    <w:rsid w:val="00122429"/>
    <w:rsid w:val="001600BD"/>
    <w:rsid w:val="001705AA"/>
    <w:rsid w:val="001B5610"/>
    <w:rsid w:val="001D2D5D"/>
    <w:rsid w:val="00202941"/>
    <w:rsid w:val="002123E0"/>
    <w:rsid w:val="002418C7"/>
    <w:rsid w:val="00242B59"/>
    <w:rsid w:val="002732BB"/>
    <w:rsid w:val="002A2987"/>
    <w:rsid w:val="002F5FF8"/>
    <w:rsid w:val="0031598C"/>
    <w:rsid w:val="00334D1C"/>
    <w:rsid w:val="003367E2"/>
    <w:rsid w:val="00373F2F"/>
    <w:rsid w:val="003B23CE"/>
    <w:rsid w:val="003F0B8D"/>
    <w:rsid w:val="00434CAB"/>
    <w:rsid w:val="00462997"/>
    <w:rsid w:val="00462CF1"/>
    <w:rsid w:val="00474134"/>
    <w:rsid w:val="004A6EF5"/>
    <w:rsid w:val="004B58C2"/>
    <w:rsid w:val="004D567E"/>
    <w:rsid w:val="004F0673"/>
    <w:rsid w:val="005238F5"/>
    <w:rsid w:val="0053176B"/>
    <w:rsid w:val="00591301"/>
    <w:rsid w:val="00593CE0"/>
    <w:rsid w:val="005D2008"/>
    <w:rsid w:val="005E056D"/>
    <w:rsid w:val="005E7240"/>
    <w:rsid w:val="005F27BB"/>
    <w:rsid w:val="006049BA"/>
    <w:rsid w:val="00617776"/>
    <w:rsid w:val="00635749"/>
    <w:rsid w:val="006E4BF1"/>
    <w:rsid w:val="006F1340"/>
    <w:rsid w:val="00772AD1"/>
    <w:rsid w:val="0079104A"/>
    <w:rsid w:val="007A4DF3"/>
    <w:rsid w:val="007A55F0"/>
    <w:rsid w:val="007B2A42"/>
    <w:rsid w:val="007F47E3"/>
    <w:rsid w:val="008327EC"/>
    <w:rsid w:val="00857EAE"/>
    <w:rsid w:val="008746F2"/>
    <w:rsid w:val="00884B76"/>
    <w:rsid w:val="00893245"/>
    <w:rsid w:val="00926140"/>
    <w:rsid w:val="00937D5D"/>
    <w:rsid w:val="009513A6"/>
    <w:rsid w:val="0095695E"/>
    <w:rsid w:val="009A264A"/>
    <w:rsid w:val="00A057DF"/>
    <w:rsid w:val="00A0590F"/>
    <w:rsid w:val="00A42D3F"/>
    <w:rsid w:val="00A54C26"/>
    <w:rsid w:val="00A642B4"/>
    <w:rsid w:val="00A76023"/>
    <w:rsid w:val="00AF29EF"/>
    <w:rsid w:val="00B071B1"/>
    <w:rsid w:val="00B404E6"/>
    <w:rsid w:val="00B4291E"/>
    <w:rsid w:val="00B4514D"/>
    <w:rsid w:val="00B876EC"/>
    <w:rsid w:val="00BA1B94"/>
    <w:rsid w:val="00BD071B"/>
    <w:rsid w:val="00BE3FF0"/>
    <w:rsid w:val="00C07C04"/>
    <w:rsid w:val="00C16D5C"/>
    <w:rsid w:val="00C627AF"/>
    <w:rsid w:val="00C64B8C"/>
    <w:rsid w:val="00C76835"/>
    <w:rsid w:val="00C76D0B"/>
    <w:rsid w:val="00CC3D84"/>
    <w:rsid w:val="00CF211B"/>
    <w:rsid w:val="00D06C72"/>
    <w:rsid w:val="00D16DF5"/>
    <w:rsid w:val="00D22695"/>
    <w:rsid w:val="00D44019"/>
    <w:rsid w:val="00D70106"/>
    <w:rsid w:val="00D8392E"/>
    <w:rsid w:val="00DC1DCA"/>
    <w:rsid w:val="00DC1F8E"/>
    <w:rsid w:val="00DD45A9"/>
    <w:rsid w:val="00DF4E4B"/>
    <w:rsid w:val="00E21FE0"/>
    <w:rsid w:val="00E35A91"/>
    <w:rsid w:val="00E366B3"/>
    <w:rsid w:val="00E406A6"/>
    <w:rsid w:val="00E55653"/>
    <w:rsid w:val="00E6005A"/>
    <w:rsid w:val="00E86DBB"/>
    <w:rsid w:val="00EA2F75"/>
    <w:rsid w:val="00EB7093"/>
    <w:rsid w:val="00EB7725"/>
    <w:rsid w:val="00EC45D6"/>
    <w:rsid w:val="00FA2668"/>
    <w:rsid w:val="00FC0BBF"/>
    <w:rsid w:val="00FD3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76D080-1C6F-4EB1-8485-92C7F8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uadrculadetablaclara1">
    <w:name w:val="Cuadrícula de tabla clara1"/>
    <w:basedOn w:val="Tablanormal"/>
    <w:next w:val="Cuadrculadetablaclara"/>
    <w:uiPriority w:val="40"/>
    <w:rsid w:val="00032ABD"/>
    <w:pPr>
      <w:spacing w:after="0" w:line="240" w:lineRule="auto"/>
      <w:jc w:val="both"/>
    </w:pPr>
    <w:rPr>
      <w:rFonts w:eastAsia="STKaiti"/>
      <w:sz w:val="21"/>
      <w:szCs w:val="21"/>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032A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95695E"/>
    <w:pPr>
      <w:ind w:left="720"/>
      <w:contextualSpacing/>
    </w:pPr>
  </w:style>
  <w:style w:type="paragraph" w:styleId="Puesto">
    <w:name w:val="Title"/>
    <w:basedOn w:val="Normal"/>
    <w:next w:val="Normal"/>
    <w:link w:val="PuestoCar"/>
    <w:uiPriority w:val="10"/>
    <w:qFormat/>
    <w:rsid w:val="00956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5695E"/>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D83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92E"/>
  </w:style>
  <w:style w:type="paragraph" w:styleId="Piedepgina">
    <w:name w:val="footer"/>
    <w:basedOn w:val="Normal"/>
    <w:link w:val="PiedepginaCar"/>
    <w:uiPriority w:val="99"/>
    <w:unhideWhenUsed/>
    <w:rsid w:val="00D83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028C-49E4-4382-8F16-2DFFFA90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11</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Salgado Castelán</dc:creator>
  <cp:keywords/>
  <dc:description/>
  <cp:lastModifiedBy>Rámon Lepez Vela</cp:lastModifiedBy>
  <cp:revision>62</cp:revision>
  <dcterms:created xsi:type="dcterms:W3CDTF">2016-09-13T16:19:00Z</dcterms:created>
  <dcterms:modified xsi:type="dcterms:W3CDTF">2017-03-29T00:17:00Z</dcterms:modified>
</cp:coreProperties>
</file>