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D804C" w14:textId="08B59BD4" w:rsidR="00936B5F" w:rsidRPr="00532CBA" w:rsidRDefault="00335BCA" w:rsidP="002039D3">
      <w:pPr>
        <w:jc w:val="center"/>
        <w:rPr>
          <w:rFonts w:asciiTheme="majorHAnsi" w:hAnsiTheme="majorHAnsi"/>
          <w:b/>
        </w:rPr>
      </w:pPr>
      <w:r w:rsidRPr="00532CBA">
        <w:rPr>
          <w:rFonts w:asciiTheme="majorHAnsi" w:hAnsiTheme="majorHAnsi"/>
          <w:b/>
        </w:rPr>
        <w:t xml:space="preserve">MINUTA DE REUNIÓN ENTRE </w:t>
      </w:r>
      <w:r w:rsidR="004C7583">
        <w:rPr>
          <w:rFonts w:asciiTheme="majorHAnsi" w:hAnsiTheme="majorHAnsi"/>
          <w:b/>
        </w:rPr>
        <w:t>PR</w:t>
      </w:r>
      <w:r w:rsidR="00C005A4">
        <w:rPr>
          <w:rFonts w:asciiTheme="majorHAnsi" w:hAnsiTheme="majorHAnsi"/>
          <w:b/>
        </w:rPr>
        <w:t xml:space="preserve">OSOC </w:t>
      </w:r>
      <w:r w:rsidR="00A85D20">
        <w:rPr>
          <w:rFonts w:asciiTheme="majorHAnsi" w:hAnsiTheme="majorHAnsi"/>
          <w:b/>
        </w:rPr>
        <w:t xml:space="preserve">Y </w:t>
      </w:r>
      <w:r w:rsidRPr="00532CBA">
        <w:rPr>
          <w:rFonts w:asciiTheme="majorHAnsi" w:hAnsiTheme="majorHAnsi"/>
          <w:b/>
        </w:rPr>
        <w:t>LA SECRETARÍA DE CULTURA</w:t>
      </w:r>
    </w:p>
    <w:p w14:paraId="07A15F39" w14:textId="77777777" w:rsidR="006A1A96" w:rsidRPr="009C7BBA" w:rsidRDefault="006A1A96">
      <w:pPr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835"/>
        <w:gridCol w:w="6835"/>
      </w:tblGrid>
      <w:tr w:rsidR="006A1A96" w:rsidRPr="00F45CC7" w14:paraId="02CB9DA1" w14:textId="77777777" w:rsidTr="006A1A96">
        <w:tc>
          <w:tcPr>
            <w:tcW w:w="6835" w:type="dxa"/>
          </w:tcPr>
          <w:p w14:paraId="469B9A6D" w14:textId="09FC7F25" w:rsidR="006A1A96" w:rsidRPr="00F45CC7" w:rsidRDefault="004C7583" w:rsidP="00813BC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Fecha: </w:t>
            </w:r>
            <w:r w:rsidR="00813BC5">
              <w:rPr>
                <w:rFonts w:asciiTheme="majorHAnsi" w:hAnsiTheme="majorHAnsi"/>
                <w:sz w:val="22"/>
                <w:szCs w:val="22"/>
              </w:rPr>
              <w:t>23</w:t>
            </w:r>
            <w:r w:rsidR="006A1A96" w:rsidRPr="00F45CC7">
              <w:rPr>
                <w:rFonts w:asciiTheme="majorHAnsi" w:hAnsiTheme="majorHAnsi"/>
                <w:sz w:val="22"/>
                <w:szCs w:val="22"/>
              </w:rPr>
              <w:t xml:space="preserve"> de </w:t>
            </w:r>
            <w:r w:rsidR="00A85D20">
              <w:rPr>
                <w:rFonts w:asciiTheme="majorHAnsi" w:hAnsiTheme="majorHAnsi"/>
                <w:sz w:val="22"/>
                <w:szCs w:val="22"/>
              </w:rPr>
              <w:t xml:space="preserve">marzo de </w:t>
            </w:r>
            <w:r w:rsidR="006A1A96" w:rsidRPr="00F45CC7">
              <w:rPr>
                <w:rFonts w:asciiTheme="majorHAnsi" w:hAnsiTheme="majorHAnsi"/>
                <w:sz w:val="22"/>
                <w:szCs w:val="22"/>
              </w:rPr>
              <w:t>201</w:t>
            </w:r>
            <w:r w:rsidR="00813BC5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6835" w:type="dxa"/>
          </w:tcPr>
          <w:p w14:paraId="5A803059" w14:textId="2B37A151" w:rsidR="006A1A96" w:rsidRPr="00F45CC7" w:rsidRDefault="006A1A96" w:rsidP="00813BC5">
            <w:pPr>
              <w:rPr>
                <w:rFonts w:asciiTheme="majorHAnsi" w:hAnsiTheme="majorHAnsi"/>
                <w:sz w:val="22"/>
                <w:szCs w:val="22"/>
              </w:rPr>
            </w:pPr>
            <w:r w:rsidRPr="00F45CC7">
              <w:rPr>
                <w:rFonts w:asciiTheme="majorHAnsi" w:hAnsiTheme="majorHAnsi"/>
                <w:sz w:val="22"/>
                <w:szCs w:val="22"/>
                <w:lang w:val="pt-BR"/>
              </w:rPr>
              <w:t>Inicio: 1</w:t>
            </w:r>
            <w:r w:rsidR="00813BC5">
              <w:rPr>
                <w:rFonts w:asciiTheme="majorHAnsi" w:hAnsiTheme="majorHAnsi"/>
                <w:sz w:val="22"/>
                <w:szCs w:val="22"/>
                <w:lang w:val="pt-BR"/>
              </w:rPr>
              <w:t>1</w:t>
            </w:r>
            <w:r w:rsidRPr="00F45CC7">
              <w:rPr>
                <w:rFonts w:asciiTheme="majorHAnsi" w:hAnsiTheme="majorHAnsi"/>
                <w:sz w:val="22"/>
                <w:szCs w:val="22"/>
                <w:lang w:val="pt-BR"/>
              </w:rPr>
              <w:t>:</w:t>
            </w:r>
            <w:r w:rsidR="00C005A4">
              <w:rPr>
                <w:rFonts w:asciiTheme="majorHAnsi" w:hAnsiTheme="majorHAnsi"/>
                <w:sz w:val="22"/>
                <w:szCs w:val="22"/>
                <w:lang w:val="pt-BR"/>
              </w:rPr>
              <w:t>0</w:t>
            </w:r>
            <w:r w:rsidR="00A85D20">
              <w:rPr>
                <w:rFonts w:asciiTheme="majorHAnsi" w:hAnsiTheme="majorHAnsi"/>
                <w:sz w:val="22"/>
                <w:szCs w:val="22"/>
                <w:lang w:val="pt-BR"/>
              </w:rPr>
              <w:t>0</w:t>
            </w:r>
            <w:r w:rsidRPr="00F45CC7">
              <w:rPr>
                <w:rFonts w:asciiTheme="majorHAnsi" w:hAnsiTheme="majorHAnsi"/>
                <w:sz w:val="22"/>
                <w:szCs w:val="22"/>
                <w:lang w:val="pt-BR"/>
              </w:rPr>
              <w:t xml:space="preserve"> horas</w:t>
            </w:r>
          </w:p>
        </w:tc>
      </w:tr>
      <w:tr w:rsidR="006A1A96" w:rsidRPr="00F45CC7" w14:paraId="1D6B2C92" w14:textId="77777777" w:rsidTr="006A1A96">
        <w:tc>
          <w:tcPr>
            <w:tcW w:w="6835" w:type="dxa"/>
          </w:tcPr>
          <w:p w14:paraId="586ACE0D" w14:textId="2F7968FE" w:rsidR="006A1A96" w:rsidRPr="00F45CC7" w:rsidRDefault="006A1A96" w:rsidP="00813BC5">
            <w:pPr>
              <w:rPr>
                <w:rFonts w:asciiTheme="majorHAnsi" w:hAnsiTheme="majorHAnsi"/>
                <w:sz w:val="22"/>
                <w:szCs w:val="22"/>
              </w:rPr>
            </w:pPr>
            <w:r w:rsidRPr="00F45CC7">
              <w:rPr>
                <w:rFonts w:asciiTheme="majorHAnsi" w:hAnsiTheme="majorHAnsi"/>
                <w:sz w:val="22"/>
                <w:szCs w:val="22"/>
              </w:rPr>
              <w:t xml:space="preserve">Lugar: </w:t>
            </w:r>
            <w:r w:rsidR="004C7583">
              <w:rPr>
                <w:rFonts w:asciiTheme="majorHAnsi" w:hAnsiTheme="majorHAnsi"/>
                <w:sz w:val="22"/>
                <w:szCs w:val="22"/>
              </w:rPr>
              <w:t xml:space="preserve">Oficina </w:t>
            </w:r>
            <w:r w:rsidR="00813BC5">
              <w:rPr>
                <w:rFonts w:asciiTheme="majorHAnsi" w:hAnsiTheme="majorHAnsi"/>
                <w:sz w:val="22"/>
                <w:szCs w:val="22"/>
              </w:rPr>
              <w:t xml:space="preserve">del Asesor, </w:t>
            </w:r>
            <w:r w:rsidR="00C005A4">
              <w:rPr>
                <w:rFonts w:asciiTheme="majorHAnsi" w:hAnsiTheme="majorHAnsi"/>
                <w:sz w:val="22"/>
                <w:szCs w:val="22"/>
              </w:rPr>
              <w:t>Secretaría de Cultura</w:t>
            </w:r>
          </w:p>
        </w:tc>
        <w:tc>
          <w:tcPr>
            <w:tcW w:w="6835" w:type="dxa"/>
          </w:tcPr>
          <w:p w14:paraId="146FBB25" w14:textId="67AF8370" w:rsidR="006A1A96" w:rsidRPr="00F45CC7" w:rsidRDefault="006A1A96" w:rsidP="00813BC5">
            <w:pPr>
              <w:rPr>
                <w:rFonts w:asciiTheme="majorHAnsi" w:hAnsiTheme="majorHAnsi"/>
                <w:sz w:val="22"/>
                <w:szCs w:val="22"/>
              </w:rPr>
            </w:pPr>
            <w:r w:rsidRPr="00F45CC7">
              <w:rPr>
                <w:rFonts w:asciiTheme="majorHAnsi" w:hAnsiTheme="majorHAnsi"/>
                <w:sz w:val="22"/>
                <w:szCs w:val="22"/>
              </w:rPr>
              <w:t>Concluyó: 1</w:t>
            </w:r>
            <w:r w:rsidR="00813BC5">
              <w:rPr>
                <w:rFonts w:asciiTheme="majorHAnsi" w:hAnsiTheme="majorHAnsi"/>
                <w:sz w:val="22"/>
                <w:szCs w:val="22"/>
              </w:rPr>
              <w:t>2</w:t>
            </w:r>
            <w:r w:rsidRPr="00F45CC7">
              <w:rPr>
                <w:rFonts w:asciiTheme="majorHAnsi" w:hAnsiTheme="majorHAnsi"/>
                <w:sz w:val="22"/>
                <w:szCs w:val="22"/>
              </w:rPr>
              <w:t>:</w:t>
            </w:r>
            <w:r w:rsidR="00813BC5">
              <w:rPr>
                <w:rFonts w:asciiTheme="majorHAnsi" w:hAnsiTheme="majorHAnsi"/>
                <w:sz w:val="22"/>
                <w:szCs w:val="22"/>
              </w:rPr>
              <w:t>3</w:t>
            </w:r>
            <w:r w:rsidR="00017334">
              <w:rPr>
                <w:rFonts w:asciiTheme="majorHAnsi" w:hAnsiTheme="majorHAnsi"/>
                <w:sz w:val="22"/>
                <w:szCs w:val="22"/>
              </w:rPr>
              <w:t>0</w:t>
            </w:r>
            <w:r w:rsidRPr="00F45CC7">
              <w:rPr>
                <w:rFonts w:asciiTheme="majorHAnsi" w:hAnsiTheme="majorHAnsi"/>
                <w:sz w:val="22"/>
                <w:szCs w:val="22"/>
              </w:rPr>
              <w:t xml:space="preserve"> horas</w:t>
            </w:r>
          </w:p>
        </w:tc>
      </w:tr>
    </w:tbl>
    <w:p w14:paraId="1295F83E" w14:textId="77777777" w:rsidR="006A1A96" w:rsidRPr="009C7BBA" w:rsidRDefault="006A1A96">
      <w:pPr>
        <w:rPr>
          <w:rFonts w:asciiTheme="majorHAnsi" w:hAnsiTheme="majorHAnsi"/>
          <w:sz w:val="20"/>
          <w:szCs w:val="20"/>
        </w:rPr>
      </w:pPr>
    </w:p>
    <w:p w14:paraId="408D4A85" w14:textId="2EEA9F39" w:rsidR="001F4DFF" w:rsidRPr="006A1A96" w:rsidRDefault="001F4DFF" w:rsidP="006E17E3">
      <w:pPr>
        <w:jc w:val="both"/>
        <w:outlineLvl w:val="0"/>
        <w:rPr>
          <w:rFonts w:asciiTheme="majorHAnsi" w:hAnsiTheme="majorHAnsi" w:cs="Arial"/>
          <w:b/>
          <w:smallCaps/>
        </w:rPr>
      </w:pPr>
      <w:r w:rsidRPr="006A1A96">
        <w:rPr>
          <w:rFonts w:asciiTheme="majorHAnsi" w:hAnsiTheme="majorHAnsi" w:cs="Arial"/>
          <w:b/>
          <w:smallCaps/>
        </w:rPr>
        <w:t>Asistentes:</w:t>
      </w:r>
    </w:p>
    <w:tbl>
      <w:tblPr>
        <w:tblStyle w:val="Tablaconcuadrcula"/>
        <w:tblW w:w="13670" w:type="dxa"/>
        <w:tblLook w:val="04A0" w:firstRow="1" w:lastRow="0" w:firstColumn="1" w:lastColumn="0" w:noHBand="0" w:noVBand="1"/>
      </w:tblPr>
      <w:tblGrid>
        <w:gridCol w:w="6799"/>
        <w:gridCol w:w="6871"/>
      </w:tblGrid>
      <w:tr w:rsidR="00CF4FE2" w:rsidRPr="006A1A96" w14:paraId="70C5BA20" w14:textId="77777777" w:rsidTr="0027706B">
        <w:tc>
          <w:tcPr>
            <w:tcW w:w="6799" w:type="dxa"/>
          </w:tcPr>
          <w:p w14:paraId="6341A58A" w14:textId="2F684991" w:rsidR="00CF4FE2" w:rsidRPr="006A1A96" w:rsidRDefault="00CF4FE2" w:rsidP="00CF4FE2">
            <w:pPr>
              <w:jc w:val="both"/>
              <w:outlineLvl w:val="0"/>
              <w:rPr>
                <w:rFonts w:asciiTheme="majorHAnsi" w:hAnsiTheme="majorHAnsi" w:cs="Arial"/>
                <w:smallCaps/>
                <w:sz w:val="22"/>
                <w:szCs w:val="22"/>
              </w:rPr>
            </w:pP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M</w:t>
            </w:r>
            <w:r w:rsidRPr="006A1A96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artín </w:t>
            </w: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L</w:t>
            </w:r>
            <w:r w:rsidRPr="006A1A96">
              <w:rPr>
                <w:rFonts w:asciiTheme="majorHAnsi" w:hAnsiTheme="majorHAnsi" w:cs="Arial"/>
                <w:smallCaps/>
                <w:sz w:val="22"/>
                <w:szCs w:val="22"/>
              </w:rPr>
              <w:t>evenson, asesor de la secretaría de cultura</w:t>
            </w:r>
          </w:p>
        </w:tc>
        <w:tc>
          <w:tcPr>
            <w:tcW w:w="6871" w:type="dxa"/>
          </w:tcPr>
          <w:p w14:paraId="687878F8" w14:textId="48A1FF59" w:rsidR="00CF4FE2" w:rsidRPr="006A1A96" w:rsidRDefault="00CF4FE2" w:rsidP="00CF4FE2">
            <w:pPr>
              <w:jc w:val="both"/>
              <w:outlineLvl w:val="0"/>
              <w:rPr>
                <w:rFonts w:asciiTheme="majorHAnsi" w:hAnsiTheme="majorHAnsi" w:cs="Arial"/>
                <w:smallCaps/>
                <w:sz w:val="22"/>
                <w:szCs w:val="22"/>
              </w:rPr>
            </w:pP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Gelacio Montiel, Coordinador de Asesores de la PROSOC</w:t>
            </w:r>
          </w:p>
        </w:tc>
      </w:tr>
      <w:tr w:rsidR="00CF4FE2" w:rsidRPr="006A1A96" w14:paraId="56FE20ED" w14:textId="77777777" w:rsidTr="0027706B">
        <w:tc>
          <w:tcPr>
            <w:tcW w:w="6799" w:type="dxa"/>
          </w:tcPr>
          <w:p w14:paraId="6C825D60" w14:textId="7FE01AA3" w:rsidR="00CF4FE2" w:rsidRPr="001F071D" w:rsidRDefault="00CF4FE2" w:rsidP="0050502C">
            <w:pPr>
              <w:jc w:val="both"/>
              <w:outlineLvl w:val="0"/>
            </w:pP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Déborah Chenillo, Coordinadora de Vinculación Cultural Comunitaria</w:t>
            </w:r>
          </w:p>
        </w:tc>
        <w:tc>
          <w:tcPr>
            <w:tcW w:w="6871" w:type="dxa"/>
          </w:tcPr>
          <w:p w14:paraId="60452089" w14:textId="06AAEA1F" w:rsidR="00CF4FE2" w:rsidRPr="006A1A96" w:rsidRDefault="00CF4FE2" w:rsidP="0052661B">
            <w:pPr>
              <w:outlineLvl w:val="0"/>
              <w:rPr>
                <w:rFonts w:asciiTheme="majorHAnsi" w:hAnsiTheme="majorHAnsi" w:cs="Arial"/>
                <w:smallCaps/>
                <w:sz w:val="22"/>
                <w:szCs w:val="22"/>
              </w:rPr>
            </w:pP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Jonathan Noyola, Subprocurador de </w:t>
            </w:r>
            <w:r w:rsidR="0071173E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Promoción de los </w:t>
            </w: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Derechos Económicos, Sociales, Culturales y Ambientales.</w:t>
            </w:r>
          </w:p>
        </w:tc>
      </w:tr>
      <w:tr w:rsidR="00CF4FE2" w:rsidRPr="006A1A96" w14:paraId="28F1E9E4" w14:textId="77777777" w:rsidTr="0027706B">
        <w:tc>
          <w:tcPr>
            <w:tcW w:w="6799" w:type="dxa"/>
          </w:tcPr>
          <w:p w14:paraId="1B249769" w14:textId="4CFA2A5A" w:rsidR="00CF4FE2" w:rsidRDefault="00CF4FE2" w:rsidP="00CF4FE2">
            <w:pPr>
              <w:jc w:val="both"/>
              <w:outlineLvl w:val="0"/>
              <w:rPr>
                <w:rFonts w:asciiTheme="majorHAnsi" w:hAnsiTheme="majorHAnsi" w:cs="Arial"/>
                <w:smallCaps/>
                <w:sz w:val="22"/>
                <w:szCs w:val="22"/>
              </w:rPr>
            </w:pP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Elí Evangelista, Director de Desarrollo Comunitario</w:t>
            </w:r>
          </w:p>
        </w:tc>
        <w:tc>
          <w:tcPr>
            <w:tcW w:w="6871" w:type="dxa"/>
          </w:tcPr>
          <w:p w14:paraId="65D14932" w14:textId="10A604F0" w:rsidR="00CF4FE2" w:rsidRDefault="00CF4FE2" w:rsidP="001B7C9D">
            <w:pPr>
              <w:jc w:val="both"/>
              <w:outlineLvl w:val="0"/>
              <w:rPr>
                <w:rFonts w:asciiTheme="majorHAnsi" w:hAnsiTheme="majorHAnsi" w:cs="Arial"/>
                <w:smallCaps/>
                <w:sz w:val="22"/>
                <w:szCs w:val="22"/>
              </w:rPr>
            </w:pP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Héctor</w:t>
            </w:r>
            <w:r w:rsidR="005A0783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 </w:t>
            </w:r>
            <w:r w:rsidR="001B7C9D">
              <w:rPr>
                <w:rFonts w:asciiTheme="majorHAnsi" w:hAnsiTheme="majorHAnsi" w:cs="Arial"/>
                <w:smallCaps/>
                <w:sz w:val="22"/>
                <w:szCs w:val="22"/>
              </w:rPr>
              <w:t>Blontys Pérez Ramírez</w:t>
            </w:r>
            <w:r w:rsidR="005A0783">
              <w:rPr>
                <w:rFonts w:asciiTheme="majorHAnsi" w:hAnsiTheme="majorHAnsi" w:cs="Arial"/>
                <w:smallCaps/>
                <w:sz w:val="22"/>
                <w:szCs w:val="22"/>
              </w:rPr>
              <w:t>, Asesor Jurídico</w:t>
            </w:r>
          </w:p>
        </w:tc>
      </w:tr>
      <w:tr w:rsidR="00CF4FE2" w:rsidRPr="006A1A96" w14:paraId="3F986BF4" w14:textId="77777777" w:rsidTr="0027706B">
        <w:tc>
          <w:tcPr>
            <w:tcW w:w="6799" w:type="dxa"/>
          </w:tcPr>
          <w:p w14:paraId="7409FB60" w14:textId="0A52A339" w:rsidR="00CF4FE2" w:rsidRDefault="00CF4FE2" w:rsidP="00CF4FE2">
            <w:pPr>
              <w:jc w:val="both"/>
              <w:outlineLvl w:val="0"/>
              <w:rPr>
                <w:rFonts w:asciiTheme="majorHAnsi" w:hAnsiTheme="majorHAnsi" w:cs="Arial"/>
                <w:smallCaps/>
                <w:sz w:val="22"/>
                <w:szCs w:val="22"/>
              </w:rPr>
            </w:pP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R</w:t>
            </w:r>
            <w:r w:rsidRPr="006A1A96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amón </w:t>
            </w: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L</w:t>
            </w:r>
            <w:r w:rsidRPr="006A1A96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épez, subdirector de seguimiento a </w:t>
            </w: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programas</w:t>
            </w:r>
            <w:r w:rsidR="005A0783">
              <w:rPr>
                <w:rFonts w:asciiTheme="majorHAnsi" w:hAnsiTheme="majorHAnsi" w:cs="Arial"/>
                <w:smallCaps/>
                <w:sz w:val="22"/>
                <w:szCs w:val="22"/>
              </w:rPr>
              <w:t>, SeCult</w:t>
            </w:r>
          </w:p>
        </w:tc>
        <w:tc>
          <w:tcPr>
            <w:tcW w:w="6871" w:type="dxa"/>
          </w:tcPr>
          <w:p w14:paraId="3DFD75AE" w14:textId="15A8DDD3" w:rsidR="00CF4FE2" w:rsidRDefault="005A0783" w:rsidP="00CF4FE2">
            <w:pPr>
              <w:jc w:val="both"/>
              <w:outlineLvl w:val="0"/>
              <w:rPr>
                <w:rFonts w:asciiTheme="majorHAnsi" w:hAnsiTheme="majorHAnsi" w:cs="Arial"/>
                <w:smallCaps/>
                <w:sz w:val="22"/>
                <w:szCs w:val="22"/>
              </w:rPr>
            </w:pP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YADIRA Echeverría, Responsable de la Oficina de Gestión de la CPEP, SeCult</w:t>
            </w:r>
          </w:p>
        </w:tc>
      </w:tr>
    </w:tbl>
    <w:p w14:paraId="050F16CE" w14:textId="77777777" w:rsidR="001F4DFF" w:rsidRPr="009C7BBA" w:rsidRDefault="001F4DFF" w:rsidP="006E17E3">
      <w:pPr>
        <w:jc w:val="both"/>
        <w:outlineLvl w:val="0"/>
        <w:rPr>
          <w:rFonts w:asciiTheme="majorHAnsi" w:hAnsiTheme="majorHAnsi" w:cs="Arial"/>
          <w:b/>
          <w:smallCaps/>
          <w:sz w:val="20"/>
          <w:szCs w:val="20"/>
        </w:rPr>
      </w:pPr>
    </w:p>
    <w:p w14:paraId="15582DA2" w14:textId="5CE14B40" w:rsidR="006A1A96" w:rsidRPr="00F45CC7" w:rsidRDefault="00F45CC7" w:rsidP="006E17E3">
      <w:pPr>
        <w:jc w:val="both"/>
        <w:outlineLvl w:val="0"/>
        <w:rPr>
          <w:rFonts w:asciiTheme="majorHAnsi" w:hAnsiTheme="majorHAnsi" w:cs="Arial"/>
          <w:b/>
          <w:smallCaps/>
          <w:sz w:val="22"/>
          <w:szCs w:val="22"/>
        </w:rPr>
      </w:pPr>
      <w:r w:rsidRPr="00F45CC7">
        <w:rPr>
          <w:rFonts w:asciiTheme="majorHAnsi" w:hAnsiTheme="majorHAnsi" w:cs="Arial"/>
          <w:b/>
          <w:smallCaps/>
          <w:sz w:val="22"/>
          <w:szCs w:val="22"/>
        </w:rPr>
        <w:t>O</w:t>
      </w:r>
      <w:r>
        <w:rPr>
          <w:rFonts w:asciiTheme="majorHAnsi" w:hAnsiTheme="majorHAnsi" w:cs="Arial"/>
          <w:b/>
          <w:smallCaps/>
          <w:sz w:val="22"/>
          <w:szCs w:val="22"/>
        </w:rPr>
        <w:t>bjetivo</w:t>
      </w:r>
      <w:r w:rsidR="006A1A96" w:rsidRPr="00F45CC7">
        <w:rPr>
          <w:rFonts w:asciiTheme="majorHAnsi" w:hAnsiTheme="majorHAnsi" w:cs="Arial"/>
          <w:b/>
          <w:smallCaps/>
          <w:sz w:val="22"/>
          <w:szCs w:val="22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6A1A96" w:rsidRPr="00F45CC7" w14:paraId="6FC985B1" w14:textId="77777777" w:rsidTr="006A1A96">
        <w:tc>
          <w:tcPr>
            <w:tcW w:w="13670" w:type="dxa"/>
          </w:tcPr>
          <w:p w14:paraId="6D5BA4AD" w14:textId="03485E8A" w:rsidR="006A1A96" w:rsidRPr="00C005A4" w:rsidRDefault="005A0783" w:rsidP="00D2447E">
            <w:pPr>
              <w:jc w:val="both"/>
              <w:outlineLvl w:val="0"/>
              <w:rPr>
                <w:rFonts w:asciiTheme="majorHAnsi" w:hAnsiTheme="majorHAnsi" w:cs="Arial"/>
                <w:smallCaps/>
                <w:sz w:val="22"/>
                <w:szCs w:val="22"/>
                <w:highlight w:val="yellow"/>
              </w:rPr>
            </w:pP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>Revisar l</w:t>
            </w:r>
            <w:r w:rsidR="0052661B">
              <w:rPr>
                <w:rFonts w:asciiTheme="majorHAnsi" w:hAnsiTheme="majorHAnsi" w:cs="Arial"/>
                <w:smallCaps/>
                <w:sz w:val="22"/>
                <w:szCs w:val="22"/>
              </w:rPr>
              <w:t>a</w:t>
            </w: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s acciones posibles </w:t>
            </w:r>
            <w:r w:rsidR="00A05914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a </w:t>
            </w:r>
            <w:r w:rsidR="00974261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desarrollar </w:t>
            </w:r>
            <w:r w:rsidR="00D2447E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en conjunto </w:t>
            </w:r>
            <w:r w:rsidR="00660B87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en las unidades habitacionales </w:t>
            </w:r>
            <w:r w:rsidR="00A05914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con el objetivo de </w:t>
            </w:r>
            <w:r w:rsidR="0052661B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definir </w:t>
            </w:r>
            <w:r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un programa de trabajo </w:t>
            </w:r>
            <w:r w:rsidR="00A05914">
              <w:rPr>
                <w:rFonts w:asciiTheme="majorHAnsi" w:hAnsiTheme="majorHAnsi" w:cs="Arial"/>
                <w:smallCaps/>
                <w:sz w:val="22"/>
                <w:szCs w:val="22"/>
              </w:rPr>
              <w:t>que formará parte de los compromisos a</w:t>
            </w:r>
            <w:r w:rsidR="00660B87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l momento de </w:t>
            </w:r>
            <w:r w:rsidR="00A05914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la </w:t>
            </w:r>
            <w:r w:rsidR="0052661B">
              <w:rPr>
                <w:rFonts w:asciiTheme="majorHAnsi" w:hAnsiTheme="majorHAnsi" w:cs="Arial"/>
                <w:smallCaps/>
                <w:sz w:val="22"/>
                <w:szCs w:val="22"/>
              </w:rPr>
              <w:t>renovación del convenio marco</w:t>
            </w:r>
            <w:r w:rsidR="00A05914">
              <w:rPr>
                <w:rFonts w:asciiTheme="majorHAnsi" w:hAnsiTheme="majorHAnsi" w:cs="Arial"/>
                <w:smallCaps/>
                <w:sz w:val="22"/>
                <w:szCs w:val="22"/>
              </w:rPr>
              <w:t xml:space="preserve"> entre la PROSOC y la SeCult.</w:t>
            </w:r>
          </w:p>
        </w:tc>
      </w:tr>
    </w:tbl>
    <w:p w14:paraId="5251602F" w14:textId="77777777" w:rsidR="006A1A96" w:rsidRPr="009C7BBA" w:rsidRDefault="006A1A96" w:rsidP="006E17E3">
      <w:pPr>
        <w:jc w:val="both"/>
        <w:outlineLvl w:val="0"/>
        <w:rPr>
          <w:rFonts w:asciiTheme="majorHAnsi" w:hAnsiTheme="majorHAnsi" w:cs="Arial"/>
          <w:b/>
          <w:smallCaps/>
          <w:sz w:val="20"/>
          <w:szCs w:val="20"/>
        </w:rPr>
      </w:pPr>
    </w:p>
    <w:p w14:paraId="0A29E9A1" w14:textId="36F60353" w:rsidR="006E17E3" w:rsidRPr="00F0012F" w:rsidRDefault="006E17E3" w:rsidP="005B67FE">
      <w:pPr>
        <w:jc w:val="both"/>
        <w:outlineLvl w:val="0"/>
        <w:rPr>
          <w:rFonts w:asciiTheme="majorHAnsi" w:hAnsiTheme="majorHAnsi" w:cs="Arial"/>
          <w:b/>
          <w:smallCaps/>
        </w:rPr>
      </w:pPr>
      <w:r w:rsidRPr="00F0012F">
        <w:rPr>
          <w:rFonts w:asciiTheme="majorHAnsi" w:hAnsiTheme="majorHAnsi" w:cs="Arial"/>
          <w:b/>
          <w:smallCaps/>
        </w:rPr>
        <w:t>Compromisos y Acuerdos:</w:t>
      </w:r>
    </w:p>
    <w:tbl>
      <w:tblPr>
        <w:tblpPr w:leftFromText="141" w:rightFromText="141" w:vertAnchor="text" w:horzAnchor="margin" w:tblpY="296"/>
        <w:tblW w:w="0" w:type="auto"/>
        <w:tblBorders>
          <w:top w:val="single" w:sz="2" w:space="0" w:color="000000"/>
          <w:left w:val="single" w:sz="2" w:space="0" w:color="000000"/>
          <w:bottom w:val="threeDEngrave" w:sz="24" w:space="0" w:color="auto"/>
          <w:right w:val="threeDEngrave" w:sz="24" w:space="0" w:color="auto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8"/>
        <w:gridCol w:w="5949"/>
      </w:tblGrid>
      <w:tr w:rsidR="00660B87" w:rsidRPr="00450C82" w14:paraId="7C5E2A30" w14:textId="77777777" w:rsidTr="006271DC">
        <w:trPr>
          <w:cantSplit/>
          <w:trHeight w:val="414"/>
          <w:tblHeader/>
        </w:trPr>
        <w:tc>
          <w:tcPr>
            <w:tcW w:w="6518" w:type="dxa"/>
            <w:tcBorders>
              <w:top w:val="single" w:sz="4" w:space="0" w:color="auto"/>
              <w:bottom w:val="single" w:sz="2" w:space="0" w:color="000000"/>
            </w:tcBorders>
            <w:shd w:val="pct12" w:color="auto" w:fill="FFFFFF"/>
          </w:tcPr>
          <w:p w14:paraId="41BF82BF" w14:textId="2D16FC25" w:rsidR="00660B87" w:rsidRPr="00450C82" w:rsidRDefault="00660B87" w:rsidP="006271DC">
            <w:pPr>
              <w:ind w:left="357" w:hanging="357"/>
              <w:jc w:val="center"/>
              <w:rPr>
                <w:rFonts w:asciiTheme="majorHAnsi" w:hAnsiTheme="majorHAnsi" w:cs="Arial"/>
                <w:b/>
                <w:smallCaps/>
                <w:sz w:val="22"/>
                <w:szCs w:val="22"/>
              </w:rPr>
            </w:pPr>
            <w:r w:rsidRPr="00450C82">
              <w:rPr>
                <w:rFonts w:asciiTheme="majorHAnsi" w:hAnsiTheme="majorHAnsi" w:cs="Arial"/>
                <w:b/>
                <w:smallCaps/>
                <w:sz w:val="22"/>
                <w:szCs w:val="22"/>
              </w:rPr>
              <w:t>Descripción</w:t>
            </w:r>
            <w:r>
              <w:rPr>
                <w:rFonts w:asciiTheme="majorHAnsi" w:hAnsiTheme="majorHAnsi" w:cs="Arial"/>
                <w:b/>
                <w:smallCaps/>
                <w:sz w:val="22"/>
                <w:szCs w:val="22"/>
              </w:rPr>
              <w:t xml:space="preserve"> / Propuesta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pct12" w:color="auto" w:fill="FFFFFF"/>
          </w:tcPr>
          <w:p w14:paraId="38B46A48" w14:textId="460A547E" w:rsidR="00660B87" w:rsidRPr="00450C82" w:rsidRDefault="00660B87" w:rsidP="00B260DB">
            <w:pPr>
              <w:jc w:val="center"/>
              <w:rPr>
                <w:rFonts w:asciiTheme="majorHAnsi" w:hAnsiTheme="majorHAnsi" w:cs="Arial"/>
                <w:b/>
                <w:smallCaps/>
                <w:sz w:val="22"/>
                <w:szCs w:val="22"/>
              </w:rPr>
            </w:pPr>
            <w:r w:rsidRPr="00450C82">
              <w:rPr>
                <w:rFonts w:asciiTheme="majorHAnsi" w:hAnsiTheme="majorHAnsi" w:cs="Arial"/>
                <w:b/>
                <w:smallCaps/>
                <w:sz w:val="22"/>
                <w:szCs w:val="22"/>
              </w:rPr>
              <w:t>Observaciones</w:t>
            </w:r>
          </w:p>
        </w:tc>
      </w:tr>
      <w:tr w:rsidR="00660B87" w:rsidRPr="00450C82" w14:paraId="169470B5" w14:textId="77777777" w:rsidTr="006271DC">
        <w:trPr>
          <w:cantSplit/>
          <w:trHeight w:val="313"/>
        </w:trPr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14:paraId="45F8AA21" w14:textId="0B12AFA1" w:rsidR="00660B87" w:rsidRPr="00017334" w:rsidRDefault="0050502C" w:rsidP="00D2447E">
            <w:pPr>
              <w:pStyle w:val="Prrafodelista"/>
              <w:numPr>
                <w:ilvl w:val="0"/>
                <w:numId w:val="30"/>
              </w:numPr>
              <w:ind w:left="357" w:hanging="357"/>
              <w:jc w:val="both"/>
              <w:outlineLv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Se manifiesta el interés de parte de ambas instituciones en concertar trabajos en común para trabajar con las unidades habitacionales (U.</w:t>
            </w:r>
            <w:r w:rsidR="00D2447E">
              <w:rPr>
                <w:rFonts w:asciiTheme="majorHAnsi" w:hAnsiTheme="majorHAnsi" w:cs="Arial"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</w:rPr>
              <w:t xml:space="preserve">H.), para lo cual será necesario primero mapear el universo y </w:t>
            </w:r>
            <w:r w:rsidR="00D2447E">
              <w:rPr>
                <w:rFonts w:asciiTheme="majorHAnsi" w:hAnsiTheme="majorHAnsi" w:cs="Arial"/>
                <w:sz w:val="20"/>
              </w:rPr>
              <w:t>determinar un universo factible de atención.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36CE49" w14:textId="34305401" w:rsidR="00660B87" w:rsidRPr="00017334" w:rsidRDefault="0050502C" w:rsidP="00230680">
            <w:pPr>
              <w:spacing w:before="20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MX"/>
              </w:rPr>
              <w:t>La Coordinación de Vinculación Cultural Comunitaria manifiesta el interés de entrar con programas a trabajar en las U.H. siempre y cuando se dé el acompañamiento de la PROSOC.</w:t>
            </w:r>
          </w:p>
        </w:tc>
      </w:tr>
      <w:tr w:rsidR="00073976" w:rsidRPr="00450C82" w14:paraId="4ADF5021" w14:textId="77777777" w:rsidTr="006271DC">
        <w:trPr>
          <w:cantSplit/>
          <w:trHeight w:val="313"/>
        </w:trPr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14:paraId="7AE00EFE" w14:textId="58A25D49" w:rsidR="00073976" w:rsidRPr="00017334" w:rsidRDefault="00EE24AD" w:rsidP="00EE24AD">
            <w:pPr>
              <w:pStyle w:val="Prrafodelista"/>
              <w:numPr>
                <w:ilvl w:val="0"/>
                <w:numId w:val="30"/>
              </w:numPr>
              <w:jc w:val="both"/>
              <w:outlineLv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Como parte de un programa de Fortalecimiento de Desarrollo Cultural, se propone llevar a dos U. H. un evento masivo que reúna las características requeridas para su presentación. La Coordinación de Producción e Espacios Públicos proporcionará los requisitos necesarios para este efecto.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CB433E" w14:textId="58F5665B" w:rsidR="00073976" w:rsidRPr="00017334" w:rsidRDefault="00EE24AD" w:rsidP="00D2447E">
            <w:pPr>
              <w:spacing w:before="2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Se sugiere llevar una a la U.</w:t>
            </w:r>
            <w:r w:rsidR="00D2447E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H. El Molino, en la delegación Iztapalapa.</w:t>
            </w:r>
            <w:r w:rsidR="00D2447E">
              <w:rPr>
                <w:rFonts w:asciiTheme="majorHAnsi" w:hAnsiTheme="majorHAnsi" w:cs="Arial"/>
                <w:sz w:val="20"/>
                <w:szCs w:val="20"/>
              </w:rPr>
              <w:t xml:space="preserve"> La Prosoc determinará en que otra U. H. se presentan las condiciones adecuadas para desarrollar la logística.</w:t>
            </w:r>
          </w:p>
        </w:tc>
      </w:tr>
      <w:tr w:rsidR="00073976" w:rsidRPr="00450C82" w14:paraId="6FA1C7F2" w14:textId="77777777" w:rsidTr="006271DC">
        <w:trPr>
          <w:cantSplit/>
          <w:trHeight w:val="313"/>
        </w:trPr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14:paraId="639C823A" w14:textId="291CA218" w:rsidR="00073976" w:rsidRPr="00017334" w:rsidRDefault="00EE24AD" w:rsidP="00EE24AD">
            <w:pPr>
              <w:pStyle w:val="Prrafodelista"/>
              <w:numPr>
                <w:ilvl w:val="0"/>
                <w:numId w:val="30"/>
              </w:numPr>
              <w:jc w:val="both"/>
              <w:outlineLv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La PROSOC elaborará una nueva propuesta de convenio marco para renovar con fecha de vencimiento al 4 de diciembre de 2018.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2B8533" w14:textId="72560E5D" w:rsidR="00073976" w:rsidRPr="00017334" w:rsidRDefault="00F56B33" w:rsidP="00D2447E">
            <w:pPr>
              <w:spacing w:before="20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MX"/>
              </w:rPr>
              <w:t xml:space="preserve">Se enviará a Ramón Lépez </w:t>
            </w:r>
            <w:r w:rsidR="00D2447E">
              <w:rPr>
                <w:rFonts w:asciiTheme="majorHAnsi" w:hAnsiTheme="majorHAnsi" w:cs="Arial"/>
                <w:sz w:val="20"/>
                <w:szCs w:val="20"/>
                <w:lang w:val="es-MX"/>
              </w:rPr>
              <w:t xml:space="preserve">quien se encargará de ser el </w:t>
            </w:r>
            <w:r>
              <w:rPr>
                <w:rFonts w:asciiTheme="majorHAnsi" w:hAnsiTheme="majorHAnsi" w:cs="Arial"/>
                <w:sz w:val="20"/>
                <w:szCs w:val="20"/>
                <w:lang w:val="es-MX"/>
              </w:rPr>
              <w:t>enlace co</w:t>
            </w:r>
            <w:r w:rsidR="00D2447E">
              <w:rPr>
                <w:rFonts w:asciiTheme="majorHAnsi" w:hAnsiTheme="majorHAnsi" w:cs="Arial"/>
                <w:sz w:val="20"/>
                <w:szCs w:val="20"/>
                <w:lang w:val="es-MX"/>
              </w:rPr>
              <w:t>n el área jurídica de la SeCult.</w:t>
            </w:r>
          </w:p>
        </w:tc>
      </w:tr>
      <w:tr w:rsidR="00073976" w:rsidRPr="00450C82" w14:paraId="5CF0E107" w14:textId="77777777" w:rsidTr="006271DC">
        <w:trPr>
          <w:cantSplit/>
          <w:trHeight w:val="313"/>
        </w:trPr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14:paraId="113FB662" w14:textId="5D07BE8D" w:rsidR="00073976" w:rsidRPr="00017334" w:rsidRDefault="007E2598" w:rsidP="00073976">
            <w:pPr>
              <w:pStyle w:val="Prrafodelista"/>
              <w:numPr>
                <w:ilvl w:val="0"/>
                <w:numId w:val="30"/>
              </w:numPr>
              <w:jc w:val="both"/>
              <w:outlineLv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>Se propone involucrar a Pro Cine CDMX para ver posibilidades de lanzar una convocatoria en alguna U.</w:t>
            </w:r>
            <w:r w:rsidR="009C7BBA">
              <w:rPr>
                <w:rFonts w:asciiTheme="majorHAnsi" w:hAnsiTheme="majorHAnsi" w:cs="Arial"/>
                <w:sz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</w:rPr>
              <w:t>H.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44B044D" w14:textId="69882737" w:rsidR="00073976" w:rsidRPr="00017334" w:rsidRDefault="009C7BBA" w:rsidP="009C7BBA">
            <w:pPr>
              <w:spacing w:before="20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MX"/>
              </w:rPr>
              <w:t xml:space="preserve">La Prosoc propondrá Unidades susceptibles de atención en esta materia y solicitará el apoyo requerido a la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s-MX"/>
              </w:rPr>
              <w:t>SeCult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s-MX"/>
              </w:rPr>
              <w:t xml:space="preserve">. Pendiente de revisión con el área de </w:t>
            </w: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s-MX"/>
              </w:rPr>
              <w:t>Procine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s-MX"/>
              </w:rPr>
              <w:t xml:space="preserve"> CDMX.</w:t>
            </w:r>
          </w:p>
        </w:tc>
      </w:tr>
      <w:tr w:rsidR="00D2447E" w:rsidRPr="009C7BBA" w14:paraId="22B168EA" w14:textId="77777777" w:rsidTr="00C562EA">
        <w:trPr>
          <w:cantSplit/>
          <w:trHeight w:val="313"/>
        </w:trPr>
        <w:tc>
          <w:tcPr>
            <w:tcW w:w="6518" w:type="dxa"/>
            <w:tcBorders>
              <w:top w:val="single" w:sz="2" w:space="0" w:color="000000"/>
              <w:bottom w:val="single" w:sz="2" w:space="0" w:color="000000"/>
            </w:tcBorders>
          </w:tcPr>
          <w:p w14:paraId="39CF1C74" w14:textId="459BD73E" w:rsidR="00D2447E" w:rsidRPr="00017334" w:rsidRDefault="00D2447E" w:rsidP="009C7BBA">
            <w:pPr>
              <w:pStyle w:val="Prrafodelista"/>
              <w:numPr>
                <w:ilvl w:val="0"/>
                <w:numId w:val="30"/>
              </w:numPr>
              <w:jc w:val="both"/>
              <w:outlineLvl w:val="0"/>
              <w:rPr>
                <w:rFonts w:asciiTheme="majorHAnsi" w:hAnsiTheme="majorHAnsi" w:cs="Arial"/>
                <w:sz w:val="20"/>
              </w:rPr>
            </w:pPr>
            <w:r>
              <w:rPr>
                <w:rFonts w:asciiTheme="majorHAnsi" w:hAnsiTheme="majorHAnsi" w:cs="Arial"/>
                <w:sz w:val="20"/>
              </w:rPr>
              <w:t xml:space="preserve">Se acuerda una próxima reunión entre las áreas de Desarrollo Cultural Comunitario y la DESCA para revisar </w:t>
            </w:r>
            <w:r w:rsidR="009C7BBA">
              <w:rPr>
                <w:rFonts w:asciiTheme="majorHAnsi" w:hAnsiTheme="majorHAnsi" w:cs="Arial"/>
                <w:sz w:val="20"/>
              </w:rPr>
              <w:t>detalles particulares de los programas de atención.</w:t>
            </w:r>
          </w:p>
        </w:tc>
        <w:tc>
          <w:tcPr>
            <w:tcW w:w="594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98371CB" w14:textId="7DB42C70" w:rsidR="00D2447E" w:rsidRPr="00017334" w:rsidRDefault="00D2447E" w:rsidP="009C7BBA">
            <w:pPr>
              <w:spacing w:before="20"/>
              <w:rPr>
                <w:rFonts w:asciiTheme="majorHAnsi" w:hAnsiTheme="majorHAnsi" w:cs="Arial"/>
                <w:sz w:val="20"/>
                <w:szCs w:val="20"/>
                <w:lang w:val="es-MX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s-MX"/>
              </w:rPr>
              <w:t>La reunión se fijó para el día martes 4 de abril a las 13:30 hrs. en las instalacione</w:t>
            </w:r>
            <w:r w:rsidR="009C7BBA">
              <w:rPr>
                <w:rFonts w:asciiTheme="majorHAnsi" w:hAnsiTheme="majorHAnsi" w:cs="Arial"/>
                <w:sz w:val="20"/>
                <w:szCs w:val="20"/>
                <w:lang w:val="es-MX"/>
              </w:rPr>
              <w:t xml:space="preserve">s de la PROSOC. Como enlaces quedan </w:t>
            </w:r>
            <w:r>
              <w:rPr>
                <w:rFonts w:asciiTheme="majorHAnsi" w:hAnsiTheme="majorHAnsi" w:cs="Arial"/>
                <w:sz w:val="20"/>
                <w:szCs w:val="20"/>
                <w:lang w:val="es-MX"/>
              </w:rPr>
              <w:t>Jonathan Noyola de parte de la PROSOC y Eli Evangelista por la SeCult.</w:t>
            </w:r>
          </w:p>
        </w:tc>
      </w:tr>
    </w:tbl>
    <w:p w14:paraId="04F47166" w14:textId="61894D94" w:rsidR="006E17E3" w:rsidRPr="009C7BBA" w:rsidRDefault="006E17E3" w:rsidP="005B67FE">
      <w:pPr>
        <w:jc w:val="both"/>
        <w:outlineLvl w:val="0"/>
        <w:rPr>
          <w:rFonts w:asciiTheme="majorHAnsi" w:hAnsiTheme="majorHAnsi" w:cs="Arial"/>
          <w:smallCaps/>
          <w:sz w:val="20"/>
          <w:szCs w:val="20"/>
          <w:lang w:val="pt-BR"/>
        </w:rPr>
      </w:pPr>
      <w:bookmarkStart w:id="0" w:name="_GoBack"/>
      <w:bookmarkEnd w:id="0"/>
    </w:p>
    <w:sectPr w:rsidR="006E17E3" w:rsidRPr="009C7BBA" w:rsidSect="001C6349">
      <w:footerReference w:type="default" r:id="rId8"/>
      <w:pgSz w:w="15840" w:h="12240" w:orient="landscape"/>
      <w:pgMar w:top="1080" w:right="1080" w:bottom="1080" w:left="108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2A6C8" w14:textId="77777777" w:rsidR="00721780" w:rsidRDefault="00721780" w:rsidP="00E44D59">
      <w:r>
        <w:separator/>
      </w:r>
    </w:p>
  </w:endnote>
  <w:endnote w:type="continuationSeparator" w:id="0">
    <w:p w14:paraId="185C3358" w14:textId="77777777" w:rsidR="00721780" w:rsidRDefault="00721780" w:rsidP="00E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E31EA" w14:textId="46F31344" w:rsidR="00657D81" w:rsidRDefault="00657D81" w:rsidP="00066DE2">
    <w:pPr>
      <w:pStyle w:val="Piedepgina"/>
      <w:jc w:val="right"/>
    </w:pPr>
    <w:r>
      <w:rPr>
        <w:noProof/>
        <w:lang w:val="es-MX" w:eastAsia="es-MX"/>
      </w:rPr>
      <w:drawing>
        <wp:inline distT="0" distB="0" distL="0" distR="0" wp14:anchorId="67156831" wp14:editId="0B2D43FD">
          <wp:extent cx="1080000" cy="1080000"/>
          <wp:effectExtent l="0" t="0" r="6350" b="635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MX" w:eastAsia="es-MX"/>
      </w:rPr>
      <w:t xml:space="preserve"> </w:t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52DEF157" wp14:editId="1634660C">
          <wp:simplePos x="0" y="0"/>
          <wp:positionH relativeFrom="page">
            <wp:posOffset>5574665</wp:posOffset>
          </wp:positionH>
          <wp:positionV relativeFrom="page">
            <wp:posOffset>8144510</wp:posOffset>
          </wp:positionV>
          <wp:extent cx="2197100" cy="1922780"/>
          <wp:effectExtent l="0" t="0" r="12700" b="7620"/>
          <wp:wrapThrough wrapText="bothSides">
            <wp:wrapPolygon edited="0">
              <wp:start x="0" y="0"/>
              <wp:lineTo x="0" y="21400"/>
              <wp:lineTo x="21475" y="21400"/>
              <wp:lineTo x="2147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 secre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100" cy="192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386C9" w14:textId="77777777" w:rsidR="00721780" w:rsidRDefault="00721780" w:rsidP="00E44D59">
      <w:r>
        <w:separator/>
      </w:r>
    </w:p>
  </w:footnote>
  <w:footnote w:type="continuationSeparator" w:id="0">
    <w:p w14:paraId="22446657" w14:textId="77777777" w:rsidR="00721780" w:rsidRDefault="00721780" w:rsidP="00E44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15D"/>
    <w:multiLevelType w:val="hybridMultilevel"/>
    <w:tmpl w:val="064E19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A212C"/>
    <w:multiLevelType w:val="hybridMultilevel"/>
    <w:tmpl w:val="AA24D55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5E28"/>
    <w:multiLevelType w:val="hybridMultilevel"/>
    <w:tmpl w:val="D80CF0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B172E"/>
    <w:multiLevelType w:val="hybridMultilevel"/>
    <w:tmpl w:val="425E8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3132"/>
    <w:multiLevelType w:val="hybridMultilevel"/>
    <w:tmpl w:val="0D34EF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C2895"/>
    <w:multiLevelType w:val="hybridMultilevel"/>
    <w:tmpl w:val="36106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77A0"/>
    <w:multiLevelType w:val="hybridMultilevel"/>
    <w:tmpl w:val="B8E24F0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E01C6F"/>
    <w:multiLevelType w:val="hybridMultilevel"/>
    <w:tmpl w:val="0BBA5A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93AC8"/>
    <w:multiLevelType w:val="hybridMultilevel"/>
    <w:tmpl w:val="9E941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C20ED"/>
    <w:multiLevelType w:val="hybridMultilevel"/>
    <w:tmpl w:val="CFAA3E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94E6E"/>
    <w:multiLevelType w:val="hybridMultilevel"/>
    <w:tmpl w:val="2ADCBCC0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D855C65"/>
    <w:multiLevelType w:val="hybridMultilevel"/>
    <w:tmpl w:val="30A0CF58"/>
    <w:lvl w:ilvl="0" w:tplc="A412F832">
      <w:start w:val="1"/>
      <w:numFmt w:val="lowerLetter"/>
      <w:lvlText w:val="%1."/>
      <w:lvlJc w:val="left"/>
      <w:pPr>
        <w:ind w:left="1800" w:hanging="360"/>
      </w:pPr>
      <w:rPr>
        <w:rFonts w:ascii="Arial Narrow" w:hAnsi="Arial Narrow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A854B9"/>
    <w:multiLevelType w:val="hybridMultilevel"/>
    <w:tmpl w:val="1E981C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C73DD"/>
    <w:multiLevelType w:val="hybridMultilevel"/>
    <w:tmpl w:val="921E2C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41CAA"/>
    <w:multiLevelType w:val="hybridMultilevel"/>
    <w:tmpl w:val="B13A7F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11432"/>
    <w:multiLevelType w:val="hybridMultilevel"/>
    <w:tmpl w:val="05028ED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C385F"/>
    <w:multiLevelType w:val="hybridMultilevel"/>
    <w:tmpl w:val="425E8F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62340"/>
    <w:multiLevelType w:val="hybridMultilevel"/>
    <w:tmpl w:val="0EEE1E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C0102"/>
    <w:multiLevelType w:val="hybridMultilevel"/>
    <w:tmpl w:val="A2C048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E0B17"/>
    <w:multiLevelType w:val="hybridMultilevel"/>
    <w:tmpl w:val="698223A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774E1"/>
    <w:multiLevelType w:val="hybridMultilevel"/>
    <w:tmpl w:val="DFA2C784"/>
    <w:lvl w:ilvl="0" w:tplc="C7D4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821529"/>
    <w:multiLevelType w:val="hybridMultilevel"/>
    <w:tmpl w:val="37345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352"/>
    <w:multiLevelType w:val="hybridMultilevel"/>
    <w:tmpl w:val="AB0C7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07AA4"/>
    <w:multiLevelType w:val="hybridMultilevel"/>
    <w:tmpl w:val="635061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37E37"/>
    <w:multiLevelType w:val="hybridMultilevel"/>
    <w:tmpl w:val="A262328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6550742"/>
    <w:multiLevelType w:val="hybridMultilevel"/>
    <w:tmpl w:val="32A89C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80D29"/>
    <w:multiLevelType w:val="hybridMultilevel"/>
    <w:tmpl w:val="0FA81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C1011"/>
    <w:multiLevelType w:val="hybridMultilevel"/>
    <w:tmpl w:val="42984A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25568C"/>
    <w:multiLevelType w:val="hybridMultilevel"/>
    <w:tmpl w:val="DF60E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944D6"/>
    <w:multiLevelType w:val="hybridMultilevel"/>
    <w:tmpl w:val="04BACA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9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21"/>
  </w:num>
  <w:num w:numId="9">
    <w:abstractNumId w:val="22"/>
  </w:num>
  <w:num w:numId="10">
    <w:abstractNumId w:val="28"/>
  </w:num>
  <w:num w:numId="11">
    <w:abstractNumId w:val="4"/>
  </w:num>
  <w:num w:numId="12">
    <w:abstractNumId w:val="11"/>
  </w:num>
  <w:num w:numId="13">
    <w:abstractNumId w:val="24"/>
  </w:num>
  <w:num w:numId="14">
    <w:abstractNumId w:val="18"/>
  </w:num>
  <w:num w:numId="15">
    <w:abstractNumId w:val="26"/>
  </w:num>
  <w:num w:numId="16">
    <w:abstractNumId w:val="12"/>
  </w:num>
  <w:num w:numId="17">
    <w:abstractNumId w:val="25"/>
  </w:num>
  <w:num w:numId="18">
    <w:abstractNumId w:val="9"/>
  </w:num>
  <w:num w:numId="19">
    <w:abstractNumId w:val="7"/>
  </w:num>
  <w:num w:numId="20">
    <w:abstractNumId w:val="0"/>
  </w:num>
  <w:num w:numId="21">
    <w:abstractNumId w:val="13"/>
  </w:num>
  <w:num w:numId="22">
    <w:abstractNumId w:val="17"/>
  </w:num>
  <w:num w:numId="23">
    <w:abstractNumId w:val="27"/>
  </w:num>
  <w:num w:numId="24">
    <w:abstractNumId w:val="10"/>
  </w:num>
  <w:num w:numId="25">
    <w:abstractNumId w:val="14"/>
  </w:num>
  <w:num w:numId="26">
    <w:abstractNumId w:val="19"/>
  </w:num>
  <w:num w:numId="27">
    <w:abstractNumId w:val="1"/>
  </w:num>
  <w:num w:numId="28">
    <w:abstractNumId w:val="23"/>
  </w:num>
  <w:num w:numId="29">
    <w:abstractNumId w:val="1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E44D59"/>
    <w:rsid w:val="00017334"/>
    <w:rsid w:val="00022979"/>
    <w:rsid w:val="00023A5C"/>
    <w:rsid w:val="0003553A"/>
    <w:rsid w:val="00035D06"/>
    <w:rsid w:val="00036194"/>
    <w:rsid w:val="00041BED"/>
    <w:rsid w:val="00056A48"/>
    <w:rsid w:val="000604E6"/>
    <w:rsid w:val="00061A0F"/>
    <w:rsid w:val="00064FEC"/>
    <w:rsid w:val="00066DE2"/>
    <w:rsid w:val="00067C21"/>
    <w:rsid w:val="000727B5"/>
    <w:rsid w:val="00073976"/>
    <w:rsid w:val="000807E2"/>
    <w:rsid w:val="00087B01"/>
    <w:rsid w:val="00092EE4"/>
    <w:rsid w:val="000A1A0B"/>
    <w:rsid w:val="000A3EE0"/>
    <w:rsid w:val="000A46AE"/>
    <w:rsid w:val="000A5262"/>
    <w:rsid w:val="000B5302"/>
    <w:rsid w:val="000C4659"/>
    <w:rsid w:val="000C6039"/>
    <w:rsid w:val="000C6F9B"/>
    <w:rsid w:val="000D70F4"/>
    <w:rsid w:val="000E2628"/>
    <w:rsid w:val="000E6467"/>
    <w:rsid w:val="000F2967"/>
    <w:rsid w:val="000F3EB7"/>
    <w:rsid w:val="000F5CA6"/>
    <w:rsid w:val="000F70BF"/>
    <w:rsid w:val="000F720D"/>
    <w:rsid w:val="00110978"/>
    <w:rsid w:val="001152CC"/>
    <w:rsid w:val="00120852"/>
    <w:rsid w:val="001228EA"/>
    <w:rsid w:val="00131B44"/>
    <w:rsid w:val="00131DB5"/>
    <w:rsid w:val="00132434"/>
    <w:rsid w:val="00132AF9"/>
    <w:rsid w:val="00132CC4"/>
    <w:rsid w:val="00134718"/>
    <w:rsid w:val="00144517"/>
    <w:rsid w:val="0015131C"/>
    <w:rsid w:val="00154074"/>
    <w:rsid w:val="00164625"/>
    <w:rsid w:val="00176CA7"/>
    <w:rsid w:val="001818B5"/>
    <w:rsid w:val="001861D1"/>
    <w:rsid w:val="00193F2F"/>
    <w:rsid w:val="00196D00"/>
    <w:rsid w:val="001A43DC"/>
    <w:rsid w:val="001B3A31"/>
    <w:rsid w:val="001B7C9D"/>
    <w:rsid w:val="001C5E33"/>
    <w:rsid w:val="001C6349"/>
    <w:rsid w:val="001C63E7"/>
    <w:rsid w:val="001D0266"/>
    <w:rsid w:val="001D2AEC"/>
    <w:rsid w:val="001E5465"/>
    <w:rsid w:val="001F071D"/>
    <w:rsid w:val="001F4DFF"/>
    <w:rsid w:val="001F7B2B"/>
    <w:rsid w:val="002039D3"/>
    <w:rsid w:val="002040C8"/>
    <w:rsid w:val="002055F1"/>
    <w:rsid w:val="002070BF"/>
    <w:rsid w:val="00207631"/>
    <w:rsid w:val="002119EF"/>
    <w:rsid w:val="00212A21"/>
    <w:rsid w:val="00225779"/>
    <w:rsid w:val="00230680"/>
    <w:rsid w:val="00231AE6"/>
    <w:rsid w:val="0024121B"/>
    <w:rsid w:val="00253C28"/>
    <w:rsid w:val="00266A14"/>
    <w:rsid w:val="0027706B"/>
    <w:rsid w:val="00277FB2"/>
    <w:rsid w:val="00280996"/>
    <w:rsid w:val="00285B84"/>
    <w:rsid w:val="002924EB"/>
    <w:rsid w:val="002959FF"/>
    <w:rsid w:val="002A4D24"/>
    <w:rsid w:val="002C394E"/>
    <w:rsid w:val="002D4700"/>
    <w:rsid w:val="002E4CE6"/>
    <w:rsid w:val="002F3528"/>
    <w:rsid w:val="003100E1"/>
    <w:rsid w:val="003230BE"/>
    <w:rsid w:val="00323BCA"/>
    <w:rsid w:val="00326D2B"/>
    <w:rsid w:val="00332FFB"/>
    <w:rsid w:val="00335BCA"/>
    <w:rsid w:val="003657EB"/>
    <w:rsid w:val="003667B0"/>
    <w:rsid w:val="00372975"/>
    <w:rsid w:val="00373D90"/>
    <w:rsid w:val="003741A0"/>
    <w:rsid w:val="003749BB"/>
    <w:rsid w:val="00375984"/>
    <w:rsid w:val="003815F8"/>
    <w:rsid w:val="00383415"/>
    <w:rsid w:val="00383FCF"/>
    <w:rsid w:val="003A779D"/>
    <w:rsid w:val="003B392A"/>
    <w:rsid w:val="003B5387"/>
    <w:rsid w:val="003C7444"/>
    <w:rsid w:val="003D52AC"/>
    <w:rsid w:val="003E4CD9"/>
    <w:rsid w:val="003E6232"/>
    <w:rsid w:val="003F017E"/>
    <w:rsid w:val="003F05CB"/>
    <w:rsid w:val="003F39CA"/>
    <w:rsid w:val="003F7C43"/>
    <w:rsid w:val="00406115"/>
    <w:rsid w:val="00407AE9"/>
    <w:rsid w:val="0041315E"/>
    <w:rsid w:val="00414B0F"/>
    <w:rsid w:val="00421C88"/>
    <w:rsid w:val="004337F0"/>
    <w:rsid w:val="00437077"/>
    <w:rsid w:val="00442434"/>
    <w:rsid w:val="00450C82"/>
    <w:rsid w:val="00450FEF"/>
    <w:rsid w:val="0045715A"/>
    <w:rsid w:val="0046426E"/>
    <w:rsid w:val="004711AF"/>
    <w:rsid w:val="00483821"/>
    <w:rsid w:val="00487CFE"/>
    <w:rsid w:val="004B4BF3"/>
    <w:rsid w:val="004B5BDC"/>
    <w:rsid w:val="004C0F62"/>
    <w:rsid w:val="004C3163"/>
    <w:rsid w:val="004C4383"/>
    <w:rsid w:val="004C7583"/>
    <w:rsid w:val="004D0614"/>
    <w:rsid w:val="004D5504"/>
    <w:rsid w:val="004E0382"/>
    <w:rsid w:val="004E07CD"/>
    <w:rsid w:val="004E2962"/>
    <w:rsid w:val="004F40BC"/>
    <w:rsid w:val="004F4B3B"/>
    <w:rsid w:val="004F6882"/>
    <w:rsid w:val="005029BA"/>
    <w:rsid w:val="00502DF7"/>
    <w:rsid w:val="00503CA6"/>
    <w:rsid w:val="0050502C"/>
    <w:rsid w:val="0050629B"/>
    <w:rsid w:val="00507E22"/>
    <w:rsid w:val="00510413"/>
    <w:rsid w:val="00512676"/>
    <w:rsid w:val="0051352D"/>
    <w:rsid w:val="005161B5"/>
    <w:rsid w:val="005211A0"/>
    <w:rsid w:val="0052187E"/>
    <w:rsid w:val="0052661B"/>
    <w:rsid w:val="005319D6"/>
    <w:rsid w:val="00532CBA"/>
    <w:rsid w:val="005401DE"/>
    <w:rsid w:val="00543FF2"/>
    <w:rsid w:val="0055704E"/>
    <w:rsid w:val="00561307"/>
    <w:rsid w:val="0056392D"/>
    <w:rsid w:val="005712C5"/>
    <w:rsid w:val="005726CB"/>
    <w:rsid w:val="00572B67"/>
    <w:rsid w:val="00583EB6"/>
    <w:rsid w:val="00590D68"/>
    <w:rsid w:val="005934E4"/>
    <w:rsid w:val="005A0783"/>
    <w:rsid w:val="005B156F"/>
    <w:rsid w:val="005B31BB"/>
    <w:rsid w:val="005B67FE"/>
    <w:rsid w:val="005B6B42"/>
    <w:rsid w:val="005B6FDF"/>
    <w:rsid w:val="005B716F"/>
    <w:rsid w:val="005C0001"/>
    <w:rsid w:val="005C4C1C"/>
    <w:rsid w:val="005E4AB5"/>
    <w:rsid w:val="005F1592"/>
    <w:rsid w:val="005F46E2"/>
    <w:rsid w:val="005F46F7"/>
    <w:rsid w:val="005F4D7E"/>
    <w:rsid w:val="00602118"/>
    <w:rsid w:val="0060360A"/>
    <w:rsid w:val="006037F9"/>
    <w:rsid w:val="00603858"/>
    <w:rsid w:val="0060565D"/>
    <w:rsid w:val="00612661"/>
    <w:rsid w:val="0062693B"/>
    <w:rsid w:val="006271DC"/>
    <w:rsid w:val="006307B5"/>
    <w:rsid w:val="00641A32"/>
    <w:rsid w:val="00641AE7"/>
    <w:rsid w:val="006560EF"/>
    <w:rsid w:val="00657388"/>
    <w:rsid w:val="00657D81"/>
    <w:rsid w:val="00660B87"/>
    <w:rsid w:val="00661C95"/>
    <w:rsid w:val="00665601"/>
    <w:rsid w:val="006672A2"/>
    <w:rsid w:val="00674CA0"/>
    <w:rsid w:val="0067779D"/>
    <w:rsid w:val="0068202A"/>
    <w:rsid w:val="006858AE"/>
    <w:rsid w:val="00694931"/>
    <w:rsid w:val="006A0AE2"/>
    <w:rsid w:val="006A1A96"/>
    <w:rsid w:val="006B4358"/>
    <w:rsid w:val="006D53BF"/>
    <w:rsid w:val="006E0645"/>
    <w:rsid w:val="006E1420"/>
    <w:rsid w:val="006E17E3"/>
    <w:rsid w:val="006E5B50"/>
    <w:rsid w:val="006F1E21"/>
    <w:rsid w:val="00701613"/>
    <w:rsid w:val="00707DFB"/>
    <w:rsid w:val="0071173E"/>
    <w:rsid w:val="00715330"/>
    <w:rsid w:val="00716A03"/>
    <w:rsid w:val="00721780"/>
    <w:rsid w:val="007227DE"/>
    <w:rsid w:val="00734D18"/>
    <w:rsid w:val="00735549"/>
    <w:rsid w:val="00736622"/>
    <w:rsid w:val="0075290C"/>
    <w:rsid w:val="007563FF"/>
    <w:rsid w:val="007631E8"/>
    <w:rsid w:val="007701A8"/>
    <w:rsid w:val="00775BCA"/>
    <w:rsid w:val="00781395"/>
    <w:rsid w:val="0078528D"/>
    <w:rsid w:val="007A348D"/>
    <w:rsid w:val="007A4A21"/>
    <w:rsid w:val="007B014F"/>
    <w:rsid w:val="007B4312"/>
    <w:rsid w:val="007C3886"/>
    <w:rsid w:val="007D4BEE"/>
    <w:rsid w:val="007D5CE1"/>
    <w:rsid w:val="007D5FA7"/>
    <w:rsid w:val="007D6F09"/>
    <w:rsid w:val="007E0C7A"/>
    <w:rsid w:val="007E2598"/>
    <w:rsid w:val="007F13C9"/>
    <w:rsid w:val="007F4E0D"/>
    <w:rsid w:val="0080437F"/>
    <w:rsid w:val="00811277"/>
    <w:rsid w:val="00813BC5"/>
    <w:rsid w:val="008212B0"/>
    <w:rsid w:val="008254AB"/>
    <w:rsid w:val="00834956"/>
    <w:rsid w:val="00837324"/>
    <w:rsid w:val="00840D41"/>
    <w:rsid w:val="00847BAA"/>
    <w:rsid w:val="00852614"/>
    <w:rsid w:val="00871196"/>
    <w:rsid w:val="00880694"/>
    <w:rsid w:val="008A69EF"/>
    <w:rsid w:val="008B663C"/>
    <w:rsid w:val="008C399D"/>
    <w:rsid w:val="008D057E"/>
    <w:rsid w:val="008D33B3"/>
    <w:rsid w:val="008D4992"/>
    <w:rsid w:val="008D4CFF"/>
    <w:rsid w:val="008D539C"/>
    <w:rsid w:val="009064D7"/>
    <w:rsid w:val="00915BFD"/>
    <w:rsid w:val="00917B48"/>
    <w:rsid w:val="009321FB"/>
    <w:rsid w:val="00934D46"/>
    <w:rsid w:val="009367A3"/>
    <w:rsid w:val="00936B5F"/>
    <w:rsid w:val="00937875"/>
    <w:rsid w:val="009670E5"/>
    <w:rsid w:val="00970065"/>
    <w:rsid w:val="00974261"/>
    <w:rsid w:val="00974DA3"/>
    <w:rsid w:val="00977954"/>
    <w:rsid w:val="00980530"/>
    <w:rsid w:val="009841A2"/>
    <w:rsid w:val="0098600C"/>
    <w:rsid w:val="00986885"/>
    <w:rsid w:val="00990A05"/>
    <w:rsid w:val="009935DB"/>
    <w:rsid w:val="00994679"/>
    <w:rsid w:val="009B1163"/>
    <w:rsid w:val="009B225C"/>
    <w:rsid w:val="009C2696"/>
    <w:rsid w:val="009C4C26"/>
    <w:rsid w:val="009C7BBA"/>
    <w:rsid w:val="009E6058"/>
    <w:rsid w:val="009E644F"/>
    <w:rsid w:val="00A0132B"/>
    <w:rsid w:val="00A05914"/>
    <w:rsid w:val="00A15C11"/>
    <w:rsid w:val="00A22F4E"/>
    <w:rsid w:val="00A30D81"/>
    <w:rsid w:val="00A43C61"/>
    <w:rsid w:val="00A536A7"/>
    <w:rsid w:val="00A62B52"/>
    <w:rsid w:val="00A66B8A"/>
    <w:rsid w:val="00A71EFE"/>
    <w:rsid w:val="00A74322"/>
    <w:rsid w:val="00A831C9"/>
    <w:rsid w:val="00A8325B"/>
    <w:rsid w:val="00A84EC5"/>
    <w:rsid w:val="00A85D20"/>
    <w:rsid w:val="00A94A00"/>
    <w:rsid w:val="00A97841"/>
    <w:rsid w:val="00AA3DC5"/>
    <w:rsid w:val="00AB027F"/>
    <w:rsid w:val="00AB1629"/>
    <w:rsid w:val="00AB1979"/>
    <w:rsid w:val="00AB2C21"/>
    <w:rsid w:val="00AB5547"/>
    <w:rsid w:val="00AD0D69"/>
    <w:rsid w:val="00AD1561"/>
    <w:rsid w:val="00AD174D"/>
    <w:rsid w:val="00AE5C30"/>
    <w:rsid w:val="00AF0874"/>
    <w:rsid w:val="00AF28C0"/>
    <w:rsid w:val="00B03728"/>
    <w:rsid w:val="00B07F3D"/>
    <w:rsid w:val="00B10131"/>
    <w:rsid w:val="00B1309D"/>
    <w:rsid w:val="00B15E80"/>
    <w:rsid w:val="00B260DB"/>
    <w:rsid w:val="00B279BC"/>
    <w:rsid w:val="00B30E23"/>
    <w:rsid w:val="00B4797B"/>
    <w:rsid w:val="00B65848"/>
    <w:rsid w:val="00B841FD"/>
    <w:rsid w:val="00B853DF"/>
    <w:rsid w:val="00B87193"/>
    <w:rsid w:val="00B92896"/>
    <w:rsid w:val="00B94C55"/>
    <w:rsid w:val="00B95166"/>
    <w:rsid w:val="00B974F7"/>
    <w:rsid w:val="00BB722F"/>
    <w:rsid w:val="00BC36B2"/>
    <w:rsid w:val="00BC71D8"/>
    <w:rsid w:val="00BD0261"/>
    <w:rsid w:val="00BE2D28"/>
    <w:rsid w:val="00BE5A6D"/>
    <w:rsid w:val="00BF30AE"/>
    <w:rsid w:val="00BF3FEB"/>
    <w:rsid w:val="00BF6197"/>
    <w:rsid w:val="00BF749E"/>
    <w:rsid w:val="00C005A4"/>
    <w:rsid w:val="00C006FA"/>
    <w:rsid w:val="00C03FBC"/>
    <w:rsid w:val="00C06D93"/>
    <w:rsid w:val="00C129B5"/>
    <w:rsid w:val="00C222E4"/>
    <w:rsid w:val="00C24EEB"/>
    <w:rsid w:val="00C31203"/>
    <w:rsid w:val="00C34580"/>
    <w:rsid w:val="00C406AB"/>
    <w:rsid w:val="00C414FA"/>
    <w:rsid w:val="00C5032C"/>
    <w:rsid w:val="00C50B2A"/>
    <w:rsid w:val="00C51F4B"/>
    <w:rsid w:val="00C76CF1"/>
    <w:rsid w:val="00C77C78"/>
    <w:rsid w:val="00C80B06"/>
    <w:rsid w:val="00C844D5"/>
    <w:rsid w:val="00C87872"/>
    <w:rsid w:val="00C87C36"/>
    <w:rsid w:val="00C92DA0"/>
    <w:rsid w:val="00CA0795"/>
    <w:rsid w:val="00CB1675"/>
    <w:rsid w:val="00CB2BAE"/>
    <w:rsid w:val="00CB4D95"/>
    <w:rsid w:val="00CF173E"/>
    <w:rsid w:val="00CF4FE2"/>
    <w:rsid w:val="00D01E2F"/>
    <w:rsid w:val="00D2136D"/>
    <w:rsid w:val="00D2436E"/>
    <w:rsid w:val="00D2447E"/>
    <w:rsid w:val="00D30A98"/>
    <w:rsid w:val="00D33E00"/>
    <w:rsid w:val="00D40422"/>
    <w:rsid w:val="00D477D4"/>
    <w:rsid w:val="00D71121"/>
    <w:rsid w:val="00D73446"/>
    <w:rsid w:val="00D73775"/>
    <w:rsid w:val="00D74CE3"/>
    <w:rsid w:val="00D804C2"/>
    <w:rsid w:val="00D842A3"/>
    <w:rsid w:val="00DA43E4"/>
    <w:rsid w:val="00DB3911"/>
    <w:rsid w:val="00DB56B0"/>
    <w:rsid w:val="00DB73B4"/>
    <w:rsid w:val="00DC24CE"/>
    <w:rsid w:val="00DE4B2C"/>
    <w:rsid w:val="00DE76DA"/>
    <w:rsid w:val="00E04C07"/>
    <w:rsid w:val="00E0504E"/>
    <w:rsid w:val="00E05D56"/>
    <w:rsid w:val="00E0714B"/>
    <w:rsid w:val="00E106CE"/>
    <w:rsid w:val="00E32C69"/>
    <w:rsid w:val="00E352B5"/>
    <w:rsid w:val="00E44D59"/>
    <w:rsid w:val="00E456BE"/>
    <w:rsid w:val="00E46C06"/>
    <w:rsid w:val="00E522AB"/>
    <w:rsid w:val="00E52FCA"/>
    <w:rsid w:val="00E60339"/>
    <w:rsid w:val="00E60FD5"/>
    <w:rsid w:val="00E752A5"/>
    <w:rsid w:val="00E87A7B"/>
    <w:rsid w:val="00E87AE8"/>
    <w:rsid w:val="00E92F0B"/>
    <w:rsid w:val="00E95DDC"/>
    <w:rsid w:val="00EB2144"/>
    <w:rsid w:val="00EC403C"/>
    <w:rsid w:val="00EC4271"/>
    <w:rsid w:val="00EC5E52"/>
    <w:rsid w:val="00EC6E27"/>
    <w:rsid w:val="00EC7726"/>
    <w:rsid w:val="00ED1B8B"/>
    <w:rsid w:val="00EE24AD"/>
    <w:rsid w:val="00EF01F0"/>
    <w:rsid w:val="00EF65A9"/>
    <w:rsid w:val="00F0012F"/>
    <w:rsid w:val="00F1367C"/>
    <w:rsid w:val="00F24B8E"/>
    <w:rsid w:val="00F266FA"/>
    <w:rsid w:val="00F37534"/>
    <w:rsid w:val="00F45CC7"/>
    <w:rsid w:val="00F5269F"/>
    <w:rsid w:val="00F56B33"/>
    <w:rsid w:val="00F63B38"/>
    <w:rsid w:val="00F65B69"/>
    <w:rsid w:val="00F72319"/>
    <w:rsid w:val="00F74ACA"/>
    <w:rsid w:val="00F86625"/>
    <w:rsid w:val="00F92748"/>
    <w:rsid w:val="00FA3113"/>
    <w:rsid w:val="00FC12FF"/>
    <w:rsid w:val="00FD0F20"/>
    <w:rsid w:val="00FE12DD"/>
    <w:rsid w:val="00FF30AB"/>
    <w:rsid w:val="00FF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9D7081"/>
  <w15:docId w15:val="{88B68308-8E97-4158-900D-2315DE04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D59"/>
  </w:style>
  <w:style w:type="paragraph" w:styleId="Piedepgina">
    <w:name w:val="footer"/>
    <w:basedOn w:val="Normal"/>
    <w:link w:val="PiedepginaCar"/>
    <w:uiPriority w:val="99"/>
    <w:unhideWhenUsed/>
    <w:rsid w:val="00E44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D59"/>
  </w:style>
  <w:style w:type="paragraph" w:styleId="Sinespaciado">
    <w:name w:val="No Spacing"/>
    <w:link w:val="SinespaciadoCar"/>
    <w:uiPriority w:val="1"/>
    <w:qFormat/>
    <w:rsid w:val="00E44D59"/>
    <w:pPr>
      <w:spacing w:line="360" w:lineRule="auto"/>
    </w:pPr>
    <w:rPr>
      <w:sz w:val="22"/>
      <w:szCs w:val="22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4D59"/>
    <w:rPr>
      <w:sz w:val="22"/>
      <w:szCs w:val="22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A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72"/>
    <w:rsid w:val="006E17E3"/>
    <w:pPr>
      <w:suppressAutoHyphens/>
      <w:ind w:left="720"/>
      <w:contextualSpacing/>
    </w:pPr>
    <w:rPr>
      <w:rFonts w:ascii="Arial" w:eastAsia="Times New Roman" w:hAnsi="Arial" w:cs="Times New Roman"/>
      <w:sz w:val="18"/>
      <w:szCs w:val="20"/>
      <w:lang w:val="es-MX"/>
    </w:rPr>
  </w:style>
  <w:style w:type="table" w:styleId="Tablaconcuadrcula">
    <w:name w:val="Table Grid"/>
    <w:basedOn w:val="Tablanormal"/>
    <w:uiPriority w:val="59"/>
    <w:rsid w:val="008D057E"/>
    <w:pPr>
      <w:suppressAutoHyphens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A4D2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4D2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4D2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D2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0F70B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apple-converted-space">
    <w:name w:val="apple-converted-space"/>
    <w:basedOn w:val="Fuentedeprrafopredeter"/>
    <w:rsid w:val="000F7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C78BE-09B3-4D63-A7C2-9D8B0FAC3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diseno</dc:creator>
  <cp:lastModifiedBy>Rámon Lepez Vela</cp:lastModifiedBy>
  <cp:revision>4</cp:revision>
  <cp:lastPrinted>2017-03-23T16:51:00Z</cp:lastPrinted>
  <dcterms:created xsi:type="dcterms:W3CDTF">2017-03-23T20:12:00Z</dcterms:created>
  <dcterms:modified xsi:type="dcterms:W3CDTF">2017-03-24T18:58:00Z</dcterms:modified>
</cp:coreProperties>
</file>