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Ceremonia cívica conmemorativa por el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98° Aniversario luctuoso del Gral. Felipe Ángeles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Estatua del Gral. Felipe Ángeles ubicada en el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Parque Recreativo Gral.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Felipe Ángeles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sito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Av. Congreso de la Unión esq. con Aluminio, Col. Felipe Ángeles, Del. Venustiano Carranza, C.P. 15310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Lunes  27 de noviembre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11:00 horas</w:t>
      </w: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PROGRAMA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Participación del </w:t>
      </w: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highlight w:val="white"/>
          <w:rtl w:val="0"/>
        </w:rPr>
        <w:t xml:space="preserve">Ing. Héctor Alfredo Calderón Ángeles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highlight w:val="white"/>
          <w:rtl w:val="0"/>
        </w:rPr>
        <w:t xml:space="preserve">sobrino bisnieto del Gral. Felipe Ángeles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highlight w:val="white"/>
          <w:rtl w:val="0"/>
        </w:rPr>
        <w:t xml:space="preserve">Interpretación de las piezas: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i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12121"/>
          <w:sz w:val="24"/>
          <w:szCs w:val="24"/>
          <w:highlight w:val="white"/>
          <w:rtl w:val="0"/>
        </w:rPr>
        <w:t xml:space="preserve">Carabina 30-30, Adiós del Soldado, Valentina/La Rielera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i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4"/>
          <w:szCs w:val="24"/>
          <w:highlight w:val="white"/>
          <w:rtl w:val="0"/>
        </w:rPr>
        <w:t xml:space="preserve"> a cargo del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4"/>
          <w:szCs w:val="24"/>
          <w:highlight w:val="white"/>
          <w:rtl w:val="0"/>
        </w:rPr>
        <w:t xml:space="preserve">Cuarteto Dos Siglos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Participación del Lic. Ramón Lépez Vela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nombre de la Secretaría de Cultura del Gobierno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integrantes del Presídium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al Gral. Felipe Ángeles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Himno Nacional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PRESÍDIUM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Ramón Lépez Vela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Subdirector del Área Cívica de la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Secretaría de Cultura de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Felipe Ávila Espinosa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 General Adjunto de Servicios Históricos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Instituto Nacional de Estudios Históricos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las Revoluciones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Raúl Rodríguez Márquez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 del Gobierno del Estado de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Zacatecas en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Erandi Zepeda Sandoval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Vinculación de la Representación del Gobierno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Estado de Chihuahua en la Ciudad de México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Mayeya García Toraño Rosas Priego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Coordinadora de Relaciones Públicas e Interinstitucionales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Secretaría de Desarrollo Social de la Ciudad de México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Alicia Ángeles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Sobrina nieta del Gral. Felipe Ángeles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César G. Ángeles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Bisnieto del Gral. Felipe Ángeles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  <w:b w:val="1"/>
          <w:color w:val="2121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highlight w:val="white"/>
          <w:rtl w:val="0"/>
        </w:rPr>
        <w:t xml:space="preserve">Héctor Alfredo Calderón Ángeles </w:t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Sobrino bisnieto del Gral. Felipe Ángeles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Rodolfo G. González Guzmán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Secretario General  de la Confederación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Regional Obrera Mexicana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Ana Judith Vargas Padilla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  <w:color w:val="212121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Presidenta de Movimiento Social 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Gral. Felipe Ángeles, A.C.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