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tblpY="1349"/>
        <w:tblW w:w="0" w:type="auto"/>
        <w:tblLook w:val="04A0" w:firstRow="1" w:lastRow="0" w:firstColumn="1" w:lastColumn="0" w:noHBand="0" w:noVBand="1"/>
      </w:tblPr>
      <w:tblGrid>
        <w:gridCol w:w="3372"/>
        <w:gridCol w:w="3359"/>
        <w:gridCol w:w="3339"/>
      </w:tblGrid>
      <w:tr w:rsidR="00C473B6" w:rsidRPr="00AC3544" w:rsidTr="0069190E">
        <w:trPr>
          <w:trHeight w:val="567"/>
        </w:trPr>
        <w:tc>
          <w:tcPr>
            <w:tcW w:w="10070" w:type="dxa"/>
            <w:gridSpan w:val="3"/>
            <w:tcBorders>
              <w:top w:val="nil"/>
              <w:left w:val="nil"/>
              <w:right w:val="nil"/>
            </w:tcBorders>
            <w:shd w:val="clear" w:color="auto" w:fill="D9D9D9" w:themeFill="background1" w:themeFillShade="D9"/>
            <w:vAlign w:val="center"/>
          </w:tcPr>
          <w:p w:rsidR="00C473B6" w:rsidRPr="00AC3544" w:rsidRDefault="00F0030A" w:rsidP="00CC13D2">
            <w:pPr>
              <w:jc w:val="center"/>
              <w:rPr>
                <w:sz w:val="20"/>
                <w:szCs w:val="20"/>
              </w:rPr>
            </w:pPr>
            <w:r w:rsidRPr="00AC3544">
              <w:rPr>
                <w:sz w:val="20"/>
                <w:szCs w:val="20"/>
              </w:rPr>
              <w:t>FORMATO DE PROGRAMACIÓN MUSEOS EN EL METRO</w:t>
            </w:r>
          </w:p>
        </w:tc>
      </w:tr>
      <w:tr w:rsidR="00C473B6" w:rsidRPr="00AC3544" w:rsidTr="0069190E">
        <w:trPr>
          <w:trHeight w:val="397"/>
        </w:trPr>
        <w:tc>
          <w:tcPr>
            <w:tcW w:w="3372" w:type="dxa"/>
            <w:vAlign w:val="center"/>
          </w:tcPr>
          <w:p w:rsidR="00C473B6" w:rsidRPr="00AC3544" w:rsidRDefault="00F0030A" w:rsidP="00CC13D2">
            <w:pPr>
              <w:rPr>
                <w:sz w:val="20"/>
                <w:szCs w:val="20"/>
              </w:rPr>
            </w:pPr>
            <w:r w:rsidRPr="00AC3544">
              <w:rPr>
                <w:sz w:val="20"/>
                <w:szCs w:val="20"/>
              </w:rPr>
              <w:t>Título de la Exposición:</w:t>
            </w:r>
          </w:p>
        </w:tc>
        <w:tc>
          <w:tcPr>
            <w:tcW w:w="6698" w:type="dxa"/>
            <w:gridSpan w:val="2"/>
          </w:tcPr>
          <w:p w:rsidR="009E0EDB" w:rsidRPr="00AC3544" w:rsidRDefault="00F0030A" w:rsidP="009E0EDB">
            <w:pPr>
              <w:rPr>
                <w:sz w:val="20"/>
                <w:szCs w:val="20"/>
              </w:rPr>
            </w:pPr>
            <w:r w:rsidRPr="00AC3544">
              <w:rPr>
                <w:sz w:val="20"/>
                <w:szCs w:val="20"/>
              </w:rPr>
              <w:t xml:space="preserve">Breve recorrido por la Revolución Mexicana </w:t>
            </w:r>
          </w:p>
          <w:p w:rsidR="00C473B6" w:rsidRPr="00AC3544" w:rsidRDefault="00444EED" w:rsidP="00CC13D2">
            <w:pPr>
              <w:rPr>
                <w:sz w:val="20"/>
                <w:szCs w:val="20"/>
              </w:rPr>
            </w:pPr>
          </w:p>
        </w:tc>
      </w:tr>
      <w:tr w:rsidR="00C473B6" w:rsidRPr="00AC3544" w:rsidTr="0069190E">
        <w:trPr>
          <w:trHeight w:val="397"/>
        </w:trPr>
        <w:tc>
          <w:tcPr>
            <w:tcW w:w="3372" w:type="dxa"/>
            <w:vAlign w:val="center"/>
          </w:tcPr>
          <w:p w:rsidR="00C473B6" w:rsidRPr="00AC3544" w:rsidRDefault="00F0030A" w:rsidP="00CC13D2">
            <w:pPr>
              <w:rPr>
                <w:sz w:val="20"/>
                <w:szCs w:val="20"/>
              </w:rPr>
            </w:pPr>
            <w:r w:rsidRPr="00AC3544">
              <w:rPr>
                <w:sz w:val="20"/>
                <w:szCs w:val="20"/>
              </w:rPr>
              <w:t>Museo responsable:</w:t>
            </w:r>
          </w:p>
        </w:tc>
        <w:tc>
          <w:tcPr>
            <w:tcW w:w="6698" w:type="dxa"/>
            <w:gridSpan w:val="2"/>
          </w:tcPr>
          <w:p w:rsidR="00C473B6" w:rsidRPr="00AC3544" w:rsidRDefault="00F0030A" w:rsidP="00CC13D2">
            <w:pPr>
              <w:rPr>
                <w:sz w:val="20"/>
                <w:szCs w:val="20"/>
              </w:rPr>
            </w:pPr>
            <w:r w:rsidRPr="00AC3544">
              <w:rPr>
                <w:sz w:val="20"/>
                <w:szCs w:val="20"/>
              </w:rPr>
              <w:t>Museo Nacional de la Revolución</w:t>
            </w:r>
          </w:p>
        </w:tc>
      </w:tr>
      <w:tr w:rsidR="00C473B6" w:rsidRPr="00AC3544" w:rsidTr="0069190E">
        <w:trPr>
          <w:trHeight w:val="397"/>
        </w:trPr>
        <w:tc>
          <w:tcPr>
            <w:tcW w:w="3372" w:type="dxa"/>
            <w:vAlign w:val="center"/>
          </w:tcPr>
          <w:p w:rsidR="00C473B6" w:rsidRPr="00AC3544" w:rsidRDefault="00F0030A" w:rsidP="00CC13D2">
            <w:pPr>
              <w:rPr>
                <w:sz w:val="20"/>
                <w:szCs w:val="20"/>
              </w:rPr>
            </w:pPr>
            <w:r w:rsidRPr="00AC3544">
              <w:rPr>
                <w:sz w:val="20"/>
                <w:szCs w:val="20"/>
              </w:rPr>
              <w:t>Periodo de exhibición:</w:t>
            </w:r>
          </w:p>
        </w:tc>
        <w:tc>
          <w:tcPr>
            <w:tcW w:w="6698" w:type="dxa"/>
            <w:gridSpan w:val="2"/>
          </w:tcPr>
          <w:p w:rsidR="00C473B6" w:rsidRPr="00AC3544" w:rsidRDefault="00F0030A" w:rsidP="00CC13D2">
            <w:pPr>
              <w:rPr>
                <w:sz w:val="20"/>
                <w:szCs w:val="20"/>
              </w:rPr>
            </w:pPr>
            <w:r w:rsidRPr="00AC3544">
              <w:rPr>
                <w:sz w:val="20"/>
                <w:szCs w:val="20"/>
              </w:rPr>
              <w:t>25 de julio/25 de septiembre  de 2018</w:t>
            </w:r>
          </w:p>
        </w:tc>
      </w:tr>
      <w:tr w:rsidR="00705A71" w:rsidRPr="00AC3544" w:rsidTr="0069190E">
        <w:trPr>
          <w:trHeight w:val="397"/>
        </w:trPr>
        <w:tc>
          <w:tcPr>
            <w:tcW w:w="3372" w:type="dxa"/>
            <w:vAlign w:val="center"/>
          </w:tcPr>
          <w:p w:rsidR="00705A71" w:rsidRPr="00AC3544" w:rsidRDefault="00F0030A" w:rsidP="00CC13D2">
            <w:pPr>
              <w:rPr>
                <w:sz w:val="20"/>
                <w:szCs w:val="20"/>
              </w:rPr>
            </w:pPr>
            <w:r w:rsidRPr="00AC3544">
              <w:rPr>
                <w:sz w:val="20"/>
                <w:szCs w:val="20"/>
              </w:rPr>
              <w:t>Fecha de montaje:</w:t>
            </w:r>
          </w:p>
        </w:tc>
        <w:tc>
          <w:tcPr>
            <w:tcW w:w="6698" w:type="dxa"/>
            <w:gridSpan w:val="2"/>
          </w:tcPr>
          <w:p w:rsidR="00705A71" w:rsidRPr="00AC3544" w:rsidRDefault="00F0030A" w:rsidP="00CC13D2">
            <w:pPr>
              <w:rPr>
                <w:sz w:val="20"/>
                <w:szCs w:val="20"/>
              </w:rPr>
            </w:pPr>
            <w:r w:rsidRPr="00AC3544">
              <w:rPr>
                <w:sz w:val="20"/>
                <w:szCs w:val="20"/>
              </w:rPr>
              <w:t>24 de julio  de 2018</w:t>
            </w:r>
          </w:p>
        </w:tc>
      </w:tr>
      <w:tr w:rsidR="00C473B6" w:rsidRPr="00AC3544" w:rsidTr="0069190E">
        <w:trPr>
          <w:trHeight w:val="397"/>
        </w:trPr>
        <w:tc>
          <w:tcPr>
            <w:tcW w:w="3372" w:type="dxa"/>
            <w:vAlign w:val="center"/>
          </w:tcPr>
          <w:p w:rsidR="00C473B6" w:rsidRPr="00AC3544" w:rsidRDefault="00F0030A" w:rsidP="00CC13D2">
            <w:pPr>
              <w:rPr>
                <w:sz w:val="20"/>
                <w:szCs w:val="20"/>
              </w:rPr>
            </w:pPr>
            <w:r w:rsidRPr="00AC3544">
              <w:rPr>
                <w:sz w:val="20"/>
                <w:szCs w:val="20"/>
              </w:rPr>
              <w:t>Fecha de desmontaje:</w:t>
            </w:r>
          </w:p>
        </w:tc>
        <w:tc>
          <w:tcPr>
            <w:tcW w:w="6698" w:type="dxa"/>
            <w:gridSpan w:val="2"/>
          </w:tcPr>
          <w:p w:rsidR="00C473B6" w:rsidRPr="00AC3544" w:rsidRDefault="00F0030A" w:rsidP="00CC13D2">
            <w:pPr>
              <w:rPr>
                <w:sz w:val="20"/>
                <w:szCs w:val="20"/>
              </w:rPr>
            </w:pPr>
            <w:r w:rsidRPr="00AC3544">
              <w:rPr>
                <w:sz w:val="20"/>
                <w:szCs w:val="20"/>
              </w:rPr>
              <w:t>24 de septiembre de 2018</w:t>
            </w:r>
          </w:p>
        </w:tc>
      </w:tr>
      <w:tr w:rsidR="00C473B6" w:rsidRPr="00AC3544" w:rsidTr="0069190E">
        <w:trPr>
          <w:trHeight w:val="397"/>
        </w:trPr>
        <w:tc>
          <w:tcPr>
            <w:tcW w:w="3372" w:type="dxa"/>
            <w:vAlign w:val="center"/>
          </w:tcPr>
          <w:p w:rsidR="00C473B6" w:rsidRPr="00AC3544" w:rsidRDefault="00F0030A" w:rsidP="00CC13D2">
            <w:pPr>
              <w:rPr>
                <w:sz w:val="20"/>
                <w:szCs w:val="20"/>
              </w:rPr>
            </w:pPr>
            <w:r w:rsidRPr="00AC3544">
              <w:rPr>
                <w:sz w:val="20"/>
                <w:szCs w:val="20"/>
              </w:rPr>
              <w:t>Contacto museo:</w:t>
            </w:r>
          </w:p>
        </w:tc>
        <w:tc>
          <w:tcPr>
            <w:tcW w:w="6698" w:type="dxa"/>
            <w:gridSpan w:val="2"/>
          </w:tcPr>
          <w:p w:rsidR="002763BA" w:rsidRPr="00AC3544" w:rsidRDefault="00F0030A" w:rsidP="00CC13D2">
            <w:pPr>
              <w:rPr>
                <w:sz w:val="20"/>
                <w:szCs w:val="20"/>
              </w:rPr>
            </w:pPr>
            <w:r w:rsidRPr="00AC3544">
              <w:rPr>
                <w:sz w:val="20"/>
                <w:szCs w:val="20"/>
              </w:rPr>
              <w:t>Javier P. Pérez</w:t>
            </w:r>
          </w:p>
          <w:p w:rsidR="002763BA" w:rsidRPr="00AC3544" w:rsidRDefault="00F0030A" w:rsidP="00CC13D2">
            <w:pPr>
              <w:rPr>
                <w:sz w:val="20"/>
                <w:szCs w:val="20"/>
              </w:rPr>
            </w:pPr>
            <w:r w:rsidRPr="00AC3544">
              <w:rPr>
                <w:sz w:val="20"/>
                <w:szCs w:val="20"/>
              </w:rPr>
              <w:t>2225656539</w:t>
            </w:r>
          </w:p>
          <w:p w:rsidR="00C473B6" w:rsidRPr="00AC3544" w:rsidRDefault="00F0030A" w:rsidP="00CC13D2">
            <w:pPr>
              <w:rPr>
                <w:sz w:val="20"/>
                <w:szCs w:val="20"/>
              </w:rPr>
            </w:pPr>
            <w:r w:rsidRPr="00AC3544">
              <w:rPr>
                <w:sz w:val="20"/>
                <w:szCs w:val="20"/>
              </w:rPr>
              <w:t>mnr.asistentedireccion@gmail.com</w:t>
            </w:r>
          </w:p>
        </w:tc>
      </w:tr>
      <w:tr w:rsidR="00C473B6" w:rsidRPr="00AC3544" w:rsidTr="00AC3544">
        <w:trPr>
          <w:trHeight w:val="3434"/>
        </w:trPr>
        <w:tc>
          <w:tcPr>
            <w:tcW w:w="10070" w:type="dxa"/>
            <w:gridSpan w:val="3"/>
          </w:tcPr>
          <w:p w:rsidR="00AC3544" w:rsidRPr="00AC3544" w:rsidRDefault="00AC3544" w:rsidP="00AC3544">
            <w:pPr>
              <w:pStyle w:val="Textoindependiente"/>
              <w:rPr>
                <w:rFonts w:ascii="Arial" w:hAnsi="Arial" w:cs="Arial"/>
                <w:sz w:val="20"/>
              </w:rPr>
            </w:pPr>
          </w:p>
          <w:p w:rsidR="00AC3544" w:rsidRPr="00AC3544" w:rsidRDefault="00AC3544" w:rsidP="00C071D8">
            <w:pPr>
              <w:pStyle w:val="Textoindependiente"/>
              <w:rPr>
                <w:rFonts w:ascii="Arial" w:hAnsi="Arial" w:cs="Arial"/>
                <w:sz w:val="20"/>
              </w:rPr>
            </w:pPr>
            <w:r w:rsidRPr="00AC3544">
              <w:rPr>
                <w:rFonts w:ascii="Arial" w:hAnsi="Arial" w:cs="Arial"/>
                <w:sz w:val="20"/>
              </w:rPr>
              <w:t xml:space="preserve">La </w:t>
            </w:r>
            <w:r w:rsidR="00F0030A" w:rsidRPr="00AC3544">
              <w:rPr>
                <w:rFonts w:ascii="Arial" w:hAnsi="Arial" w:cs="Arial"/>
                <w:sz w:val="20"/>
              </w:rPr>
              <w:t xml:space="preserve">muestra </w:t>
            </w:r>
            <w:r w:rsidR="00F0030A" w:rsidRPr="00AC3544">
              <w:rPr>
                <w:rFonts w:ascii="Arial" w:hAnsi="Arial" w:cs="Arial"/>
                <w:i/>
                <w:sz w:val="20"/>
              </w:rPr>
              <w:t>Breve recorrido por la Revolución Mexicana</w:t>
            </w:r>
            <w:r w:rsidRPr="00AC3544">
              <w:rPr>
                <w:rFonts w:ascii="Arial" w:hAnsi="Arial" w:cs="Arial"/>
                <w:sz w:val="20"/>
              </w:rPr>
              <w:t xml:space="preserve"> busca exponer,</w:t>
            </w:r>
            <w:r w:rsidR="00F0030A" w:rsidRPr="00AC3544">
              <w:rPr>
                <w:rFonts w:ascii="Arial" w:hAnsi="Arial" w:cs="Arial"/>
                <w:sz w:val="20"/>
              </w:rPr>
              <w:t xml:space="preserve"> a </w:t>
            </w:r>
            <w:r w:rsidR="00C071D8">
              <w:rPr>
                <w:rFonts w:ascii="Arial" w:hAnsi="Arial" w:cs="Arial"/>
                <w:sz w:val="20"/>
              </w:rPr>
              <w:t>través de estos textos e imágenes</w:t>
            </w:r>
            <w:r w:rsidRPr="00AC3544">
              <w:rPr>
                <w:rFonts w:ascii="Arial" w:hAnsi="Arial" w:cs="Arial"/>
                <w:sz w:val="20"/>
              </w:rPr>
              <w:t xml:space="preserve">, un </w:t>
            </w:r>
            <w:r w:rsidR="00C071D8">
              <w:rPr>
                <w:rFonts w:ascii="Arial" w:hAnsi="Arial" w:cs="Arial"/>
                <w:sz w:val="20"/>
              </w:rPr>
              <w:t>ejercicio de síntesis</w:t>
            </w:r>
            <w:r w:rsidR="00F0030A" w:rsidRPr="00AC3544">
              <w:rPr>
                <w:rFonts w:ascii="Arial" w:hAnsi="Arial" w:cs="Arial"/>
                <w:sz w:val="20"/>
              </w:rPr>
              <w:t xml:space="preserve"> </w:t>
            </w:r>
            <w:r w:rsidRPr="00AC3544">
              <w:rPr>
                <w:rFonts w:ascii="Arial" w:hAnsi="Arial" w:cs="Arial"/>
                <w:sz w:val="20"/>
              </w:rPr>
              <w:t>que permita conocer</w:t>
            </w:r>
            <w:r w:rsidR="00C071D8">
              <w:rPr>
                <w:rFonts w:ascii="Arial" w:hAnsi="Arial" w:cs="Arial"/>
                <w:sz w:val="20"/>
              </w:rPr>
              <w:t xml:space="preserve">  </w:t>
            </w:r>
            <w:r w:rsidR="00C071D8">
              <w:rPr>
                <w:rFonts w:ascii="Arial" w:hAnsi="Arial" w:cs="Arial"/>
                <w:sz w:val="20"/>
              </w:rPr>
              <w:t>a grandes rasgos</w:t>
            </w:r>
            <w:r w:rsidR="00C071D8">
              <w:rPr>
                <w:rFonts w:ascii="Arial" w:hAnsi="Arial" w:cs="Arial"/>
                <w:sz w:val="20"/>
              </w:rPr>
              <w:t>,</w:t>
            </w:r>
            <w:r w:rsidR="00C071D8" w:rsidRPr="00AC3544">
              <w:rPr>
                <w:rFonts w:ascii="Arial" w:hAnsi="Arial" w:cs="Arial"/>
                <w:sz w:val="20"/>
              </w:rPr>
              <w:t xml:space="preserve"> </w:t>
            </w:r>
            <w:r w:rsidRPr="00AC3544">
              <w:rPr>
                <w:rFonts w:ascii="Arial" w:hAnsi="Arial" w:cs="Arial"/>
                <w:sz w:val="20"/>
              </w:rPr>
              <w:t xml:space="preserve"> </w:t>
            </w:r>
            <w:r w:rsidR="00F0030A" w:rsidRPr="00AC3544">
              <w:rPr>
                <w:rFonts w:ascii="Arial" w:hAnsi="Arial" w:cs="Arial"/>
                <w:sz w:val="20"/>
              </w:rPr>
              <w:t>el origen</w:t>
            </w:r>
            <w:r w:rsidR="00C071D8">
              <w:rPr>
                <w:rFonts w:ascii="Arial" w:hAnsi="Arial" w:cs="Arial"/>
                <w:sz w:val="20"/>
              </w:rPr>
              <w:t xml:space="preserve"> </w:t>
            </w:r>
            <w:r w:rsidR="00F0030A" w:rsidRPr="00AC3544">
              <w:rPr>
                <w:rFonts w:ascii="Arial" w:hAnsi="Arial" w:cs="Arial"/>
                <w:sz w:val="20"/>
              </w:rPr>
              <w:t>del conflicto armado</w:t>
            </w:r>
            <w:r w:rsidRPr="00AC3544">
              <w:rPr>
                <w:rFonts w:ascii="Arial" w:hAnsi="Arial" w:cs="Arial"/>
                <w:sz w:val="20"/>
              </w:rPr>
              <w:t>, pero también las causas, los eventos más relevantes, los protagonistas y el resultado que dejó el acontecimiento político y social más importante del siglo XX en México.</w:t>
            </w:r>
            <w:bookmarkStart w:id="0" w:name="_GoBack"/>
            <w:bookmarkEnd w:id="0"/>
          </w:p>
        </w:tc>
      </w:tr>
      <w:tr w:rsidR="00C473B6" w:rsidRPr="00AC3544" w:rsidTr="0069190E">
        <w:tc>
          <w:tcPr>
            <w:tcW w:w="3372" w:type="dxa"/>
            <w:vAlign w:val="center"/>
          </w:tcPr>
          <w:p w:rsidR="00C473B6" w:rsidRPr="00AC3544" w:rsidRDefault="00F0030A" w:rsidP="00110735">
            <w:pPr>
              <w:jc w:val="center"/>
              <w:rPr>
                <w:sz w:val="20"/>
                <w:szCs w:val="20"/>
              </w:rPr>
            </w:pPr>
            <w:r w:rsidRPr="00AC3544">
              <w:rPr>
                <w:sz w:val="20"/>
                <w:szCs w:val="20"/>
              </w:rPr>
              <w:t>Porfirio Díaz con su Estado Mayor</w:t>
            </w:r>
          </w:p>
        </w:tc>
        <w:tc>
          <w:tcPr>
            <w:tcW w:w="3359" w:type="dxa"/>
            <w:vAlign w:val="center"/>
          </w:tcPr>
          <w:p w:rsidR="00C473B6" w:rsidRPr="00AC3544" w:rsidRDefault="00F0030A" w:rsidP="00110735">
            <w:pPr>
              <w:jc w:val="center"/>
              <w:rPr>
                <w:sz w:val="20"/>
                <w:szCs w:val="20"/>
              </w:rPr>
            </w:pPr>
            <w:r w:rsidRPr="00AC3544">
              <w:rPr>
                <w:sz w:val="20"/>
                <w:szCs w:val="20"/>
              </w:rPr>
              <w:t>Dádiva</w:t>
            </w:r>
          </w:p>
        </w:tc>
        <w:tc>
          <w:tcPr>
            <w:tcW w:w="3339" w:type="dxa"/>
            <w:vAlign w:val="center"/>
          </w:tcPr>
          <w:p w:rsidR="00C473B6" w:rsidRPr="00AC3544" w:rsidRDefault="00F0030A" w:rsidP="00110735">
            <w:pPr>
              <w:jc w:val="center"/>
              <w:rPr>
                <w:sz w:val="20"/>
                <w:szCs w:val="20"/>
              </w:rPr>
            </w:pPr>
            <w:r w:rsidRPr="00AC3544">
              <w:rPr>
                <w:bCs/>
                <w:sz w:val="20"/>
                <w:szCs w:val="20"/>
              </w:rPr>
              <w:t>Gabinete</w:t>
            </w:r>
          </w:p>
        </w:tc>
      </w:tr>
      <w:tr w:rsidR="00C473B6" w:rsidRPr="00AC3544" w:rsidTr="0069190E">
        <w:trPr>
          <w:trHeight w:val="1701"/>
        </w:trPr>
        <w:tc>
          <w:tcPr>
            <w:tcW w:w="3372" w:type="dxa"/>
          </w:tcPr>
          <w:p w:rsidR="00C473B6" w:rsidRPr="00AC3544" w:rsidRDefault="00F0030A" w:rsidP="00110735">
            <w:pPr>
              <w:jc w:val="center"/>
              <w:rPr>
                <w:sz w:val="20"/>
                <w:szCs w:val="20"/>
              </w:rPr>
            </w:pPr>
            <w:r w:rsidRPr="00AC3544">
              <w:rPr>
                <w:noProof/>
                <w:sz w:val="20"/>
                <w:szCs w:val="20"/>
                <w:lang w:val="es-MX" w:eastAsia="es-MX"/>
              </w:rPr>
              <w:drawing>
                <wp:inline distT="0" distB="0" distL="0" distR="0">
                  <wp:extent cx="1616710" cy="1257935"/>
                  <wp:effectExtent l="0" t="0" r="2540" b="0"/>
                  <wp:docPr id="2" name="Imagen 2" descr="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1257935"/>
                          </a:xfrm>
                          <a:prstGeom prst="rect">
                            <a:avLst/>
                          </a:prstGeom>
                          <a:noFill/>
                          <a:ln>
                            <a:noFill/>
                          </a:ln>
                        </pic:spPr>
                      </pic:pic>
                    </a:graphicData>
                  </a:graphic>
                </wp:inline>
              </w:drawing>
            </w:r>
          </w:p>
        </w:tc>
        <w:tc>
          <w:tcPr>
            <w:tcW w:w="3359" w:type="dxa"/>
          </w:tcPr>
          <w:p w:rsidR="003F16B4" w:rsidRPr="00AC3544" w:rsidRDefault="003F16B4" w:rsidP="00110735">
            <w:pPr>
              <w:jc w:val="center"/>
              <w:rPr>
                <w:noProof/>
                <w:sz w:val="20"/>
                <w:szCs w:val="20"/>
                <w:lang w:val="es-MX" w:eastAsia="es-MX"/>
              </w:rPr>
            </w:pPr>
          </w:p>
          <w:p w:rsidR="00C473B6" w:rsidRPr="00AC3544" w:rsidRDefault="00AC3544" w:rsidP="00110735">
            <w:pPr>
              <w:jc w:val="center"/>
              <w:rPr>
                <w:sz w:val="20"/>
                <w:szCs w:val="20"/>
              </w:rPr>
            </w:pPr>
            <w:r w:rsidRPr="00AC3544">
              <w:rPr>
                <w:rFonts w:ascii="Book Antiqua" w:hAnsi="Book Antiqua"/>
                <w:noProof/>
                <w:sz w:val="20"/>
                <w:szCs w:val="20"/>
                <w:lang w:val="es-MX" w:eastAsia="es-MX"/>
              </w:rPr>
              <w:drawing>
                <wp:inline distT="0" distB="0" distL="0" distR="0">
                  <wp:extent cx="1587500" cy="1294765"/>
                  <wp:effectExtent l="0" t="0" r="0" b="635"/>
                  <wp:docPr id="1" name="Imagen 1" descr="0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5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1294765"/>
                          </a:xfrm>
                          <a:prstGeom prst="rect">
                            <a:avLst/>
                          </a:prstGeom>
                          <a:noFill/>
                          <a:ln>
                            <a:noFill/>
                          </a:ln>
                        </pic:spPr>
                      </pic:pic>
                    </a:graphicData>
                  </a:graphic>
                </wp:inline>
              </w:drawing>
            </w:r>
          </w:p>
        </w:tc>
        <w:tc>
          <w:tcPr>
            <w:tcW w:w="3339" w:type="dxa"/>
          </w:tcPr>
          <w:p w:rsidR="00C473B6" w:rsidRPr="00AC3544" w:rsidRDefault="00F0030A" w:rsidP="00110735">
            <w:pPr>
              <w:jc w:val="center"/>
              <w:rPr>
                <w:sz w:val="20"/>
                <w:szCs w:val="20"/>
              </w:rPr>
            </w:pPr>
            <w:r w:rsidRPr="00AC3544">
              <w:rPr>
                <w:noProof/>
                <w:sz w:val="20"/>
                <w:szCs w:val="20"/>
                <w:lang w:val="es-MX" w:eastAsia="es-MX"/>
              </w:rPr>
              <w:drawing>
                <wp:inline distT="0" distB="0" distL="0" distR="0">
                  <wp:extent cx="1682750" cy="1257935"/>
                  <wp:effectExtent l="0" t="0" r="0" b="0"/>
                  <wp:docPr id="4" name="Imagen 4" descr="00369">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1257935"/>
                          </a:xfrm>
                          <a:prstGeom prst="rect">
                            <a:avLst/>
                          </a:prstGeom>
                          <a:noFill/>
                          <a:ln>
                            <a:noFill/>
                          </a:ln>
                        </pic:spPr>
                      </pic:pic>
                    </a:graphicData>
                  </a:graphic>
                </wp:inline>
              </w:drawing>
            </w:r>
          </w:p>
        </w:tc>
      </w:tr>
      <w:tr w:rsidR="00C473B6" w:rsidRPr="00AC3544" w:rsidTr="0069190E">
        <w:tc>
          <w:tcPr>
            <w:tcW w:w="3372" w:type="dxa"/>
            <w:vAlign w:val="center"/>
          </w:tcPr>
          <w:p w:rsidR="00C473B6" w:rsidRPr="00AC3544" w:rsidRDefault="00F0030A" w:rsidP="00CE708C">
            <w:pPr>
              <w:pStyle w:val="Textoindependiente"/>
              <w:jc w:val="left"/>
              <w:rPr>
                <w:rFonts w:ascii="Arial" w:hAnsi="Arial" w:cs="Arial"/>
                <w:sz w:val="20"/>
              </w:rPr>
            </w:pPr>
            <w:r w:rsidRPr="00AC3544">
              <w:rPr>
                <w:rFonts w:ascii="Arial" w:hAnsi="Arial" w:cs="Arial"/>
                <w:sz w:val="20"/>
              </w:rPr>
              <w:t xml:space="preserve">Porfirio Díaz con su Estado Mayor. Fotografía  </w:t>
            </w:r>
          </w:p>
        </w:tc>
        <w:tc>
          <w:tcPr>
            <w:tcW w:w="3359" w:type="dxa"/>
            <w:vAlign w:val="center"/>
          </w:tcPr>
          <w:p w:rsidR="0026195F" w:rsidRPr="00AC3544" w:rsidRDefault="00444EED" w:rsidP="00110735">
            <w:pPr>
              <w:rPr>
                <w:sz w:val="20"/>
                <w:szCs w:val="20"/>
              </w:rPr>
            </w:pPr>
          </w:p>
          <w:p w:rsidR="00C473B6" w:rsidRPr="00AC3544" w:rsidRDefault="00F0030A" w:rsidP="00110735">
            <w:pPr>
              <w:rPr>
                <w:sz w:val="20"/>
                <w:szCs w:val="20"/>
              </w:rPr>
            </w:pPr>
            <w:r w:rsidRPr="00AC3544">
              <w:rPr>
                <w:sz w:val="20"/>
                <w:szCs w:val="20"/>
              </w:rPr>
              <w:t xml:space="preserve">Para festejar la reelección del general Díaz, los reeleccionistas en un alarde de entusiasmo se prodigaron en dar al pueblo pan, tamales y atole en los llanos de Balbuena. La alegría del "Círculo de amigos del General Díaz" desbordó todo lo imaginable por el nuevo triunfo, que acercaba al gobierno a la revolución popular. 2 de diciembre de 1900. Fotografía  </w:t>
            </w:r>
          </w:p>
        </w:tc>
        <w:tc>
          <w:tcPr>
            <w:tcW w:w="3339" w:type="dxa"/>
            <w:vAlign w:val="center"/>
          </w:tcPr>
          <w:p w:rsidR="0026195F" w:rsidRPr="00AC3544" w:rsidRDefault="00444EED" w:rsidP="00110735">
            <w:pPr>
              <w:rPr>
                <w:sz w:val="20"/>
                <w:szCs w:val="20"/>
              </w:rPr>
            </w:pPr>
          </w:p>
          <w:p w:rsidR="0026195F" w:rsidRPr="00AC3544" w:rsidRDefault="00F0030A" w:rsidP="00110735">
            <w:pPr>
              <w:rPr>
                <w:sz w:val="20"/>
                <w:szCs w:val="20"/>
              </w:rPr>
            </w:pPr>
            <w:r w:rsidRPr="00AC3544">
              <w:rPr>
                <w:bCs/>
                <w:sz w:val="20"/>
                <w:szCs w:val="20"/>
              </w:rPr>
              <w:t xml:space="preserve"> Primer gabinete del Sr. Madero formado por las siguientes personas sentados: Lic. Manuel Vázquez Tagle, Ministro de Justicia; Manuel Calero, Ministros de Relaciones Exteriores; Madero; Abraham González, Ministro de Gobernación; Lic. Miguel Díaz Lombardo, Ministro de Instrucción Pública. De pie: Rafael Hernández, Ministro de Fomento; Gral. José González Salas, Ministro de Guerra; Ernesto Madero de Hacienda; Manuel Bonilla de Comunicaciones. </w:t>
            </w:r>
          </w:p>
          <w:p w:rsidR="00C473B6" w:rsidRPr="00AC3544" w:rsidRDefault="00444EED" w:rsidP="00110735">
            <w:pPr>
              <w:rPr>
                <w:sz w:val="20"/>
                <w:szCs w:val="20"/>
              </w:rPr>
            </w:pPr>
          </w:p>
        </w:tc>
      </w:tr>
      <w:tr w:rsidR="00CE708C" w:rsidRPr="00AC3544" w:rsidTr="0069190E">
        <w:tc>
          <w:tcPr>
            <w:tcW w:w="3372" w:type="dxa"/>
            <w:vAlign w:val="center"/>
          </w:tcPr>
          <w:p w:rsidR="00CE708C" w:rsidRPr="00AC3544" w:rsidRDefault="00F0030A" w:rsidP="00CE708C">
            <w:pPr>
              <w:pStyle w:val="Textoindependiente"/>
              <w:jc w:val="left"/>
              <w:rPr>
                <w:rFonts w:ascii="Arial" w:hAnsi="Arial" w:cs="Arial"/>
                <w:sz w:val="20"/>
              </w:rPr>
            </w:pPr>
            <w:r w:rsidRPr="00AC3544">
              <w:rPr>
                <w:rFonts w:ascii="Arial" w:hAnsi="Arial" w:cs="Arial"/>
                <w:sz w:val="20"/>
              </w:rPr>
              <w:lastRenderedPageBreak/>
              <w:t>Decena Trágica</w:t>
            </w:r>
          </w:p>
        </w:tc>
        <w:tc>
          <w:tcPr>
            <w:tcW w:w="3359" w:type="dxa"/>
            <w:vAlign w:val="center"/>
          </w:tcPr>
          <w:p w:rsidR="00CE708C" w:rsidRPr="00AC3544" w:rsidRDefault="00F0030A" w:rsidP="00110735">
            <w:pPr>
              <w:rPr>
                <w:sz w:val="20"/>
                <w:szCs w:val="20"/>
              </w:rPr>
            </w:pPr>
            <w:r w:rsidRPr="00AC3544">
              <w:rPr>
                <w:sz w:val="20"/>
                <w:szCs w:val="20"/>
                <w:lang w:val="es-MX"/>
              </w:rPr>
              <w:t>Preso</w:t>
            </w:r>
          </w:p>
        </w:tc>
        <w:tc>
          <w:tcPr>
            <w:tcW w:w="3339" w:type="dxa"/>
            <w:vAlign w:val="center"/>
          </w:tcPr>
          <w:p w:rsidR="00CE708C" w:rsidRPr="00AC3544" w:rsidRDefault="00F0030A" w:rsidP="00110735">
            <w:pPr>
              <w:rPr>
                <w:sz w:val="20"/>
                <w:szCs w:val="20"/>
              </w:rPr>
            </w:pPr>
            <w:r w:rsidRPr="00AC3544">
              <w:rPr>
                <w:sz w:val="20"/>
                <w:szCs w:val="20"/>
              </w:rPr>
              <w:t>Invasión norteamericana</w:t>
            </w:r>
          </w:p>
        </w:tc>
      </w:tr>
      <w:tr w:rsidR="00CE708C" w:rsidRPr="00AC3544" w:rsidTr="0069190E">
        <w:tc>
          <w:tcPr>
            <w:tcW w:w="3372" w:type="dxa"/>
            <w:vAlign w:val="center"/>
          </w:tcPr>
          <w:p w:rsidR="00CE708C" w:rsidRPr="00AC3544" w:rsidRDefault="00F0030A" w:rsidP="00CE708C">
            <w:pPr>
              <w:pStyle w:val="Textoindependiente"/>
              <w:jc w:val="left"/>
              <w:rPr>
                <w:rFonts w:ascii="Arial" w:hAnsi="Arial" w:cs="Arial"/>
                <w:sz w:val="20"/>
              </w:rPr>
            </w:pPr>
            <w:r w:rsidRPr="00AC3544">
              <w:rPr>
                <w:rFonts w:ascii="Arial" w:hAnsi="Arial" w:cs="Arial"/>
                <w:noProof/>
                <w:sz w:val="20"/>
                <w:lang w:val="es-MX" w:eastAsia="es-MX"/>
              </w:rPr>
              <w:drawing>
                <wp:inline distT="0" distB="0" distL="0" distR="0">
                  <wp:extent cx="1016635" cy="1257935"/>
                  <wp:effectExtent l="0" t="0" r="0" b="0"/>
                  <wp:docPr id="8" name="Imagen 8" descr="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0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635" cy="1257935"/>
                          </a:xfrm>
                          <a:prstGeom prst="rect">
                            <a:avLst/>
                          </a:prstGeom>
                          <a:noFill/>
                          <a:ln>
                            <a:noFill/>
                          </a:ln>
                        </pic:spPr>
                      </pic:pic>
                    </a:graphicData>
                  </a:graphic>
                </wp:inline>
              </w:drawing>
            </w:r>
          </w:p>
        </w:tc>
        <w:tc>
          <w:tcPr>
            <w:tcW w:w="3359" w:type="dxa"/>
            <w:vAlign w:val="center"/>
          </w:tcPr>
          <w:p w:rsidR="00CE708C" w:rsidRPr="00AC3544" w:rsidRDefault="00F0030A" w:rsidP="00110735">
            <w:pPr>
              <w:rPr>
                <w:sz w:val="20"/>
                <w:szCs w:val="20"/>
              </w:rPr>
            </w:pPr>
            <w:r w:rsidRPr="00AC3544">
              <w:rPr>
                <w:noProof/>
                <w:sz w:val="20"/>
                <w:szCs w:val="20"/>
                <w:lang w:val="es-MX" w:eastAsia="es-MX"/>
              </w:rPr>
              <w:drawing>
                <wp:inline distT="0" distB="0" distL="0" distR="0">
                  <wp:extent cx="914400" cy="1440815"/>
                  <wp:effectExtent l="0" t="0" r="0" b="6985"/>
                  <wp:docPr id="9" name="Imagen 9" descr="0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3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440815"/>
                          </a:xfrm>
                          <a:prstGeom prst="rect">
                            <a:avLst/>
                          </a:prstGeom>
                          <a:noFill/>
                          <a:ln>
                            <a:noFill/>
                          </a:ln>
                        </pic:spPr>
                      </pic:pic>
                    </a:graphicData>
                  </a:graphic>
                </wp:inline>
              </w:drawing>
            </w:r>
          </w:p>
        </w:tc>
        <w:tc>
          <w:tcPr>
            <w:tcW w:w="3339" w:type="dxa"/>
            <w:vAlign w:val="center"/>
          </w:tcPr>
          <w:p w:rsidR="00CE708C" w:rsidRPr="00AC3544" w:rsidRDefault="00F0030A" w:rsidP="00110735">
            <w:pPr>
              <w:rPr>
                <w:sz w:val="20"/>
                <w:szCs w:val="20"/>
              </w:rPr>
            </w:pPr>
            <w:r w:rsidRPr="00AC3544">
              <w:rPr>
                <w:noProof/>
                <w:sz w:val="20"/>
                <w:szCs w:val="20"/>
                <w:lang w:val="es-MX" w:eastAsia="es-MX"/>
              </w:rPr>
              <w:drawing>
                <wp:inline distT="0" distB="0" distL="0" distR="0">
                  <wp:extent cx="1616710" cy="1257935"/>
                  <wp:effectExtent l="0" t="0" r="2540" b="0"/>
                  <wp:docPr id="11" name="Imagen 11" descr="00495">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1257935"/>
                          </a:xfrm>
                          <a:prstGeom prst="rect">
                            <a:avLst/>
                          </a:prstGeom>
                          <a:noFill/>
                          <a:ln>
                            <a:noFill/>
                          </a:ln>
                        </pic:spPr>
                      </pic:pic>
                    </a:graphicData>
                  </a:graphic>
                </wp:inline>
              </w:drawing>
            </w:r>
          </w:p>
        </w:tc>
      </w:tr>
      <w:tr w:rsidR="00CE708C" w:rsidRPr="00AC3544" w:rsidTr="0069190E">
        <w:tc>
          <w:tcPr>
            <w:tcW w:w="3372" w:type="dxa"/>
            <w:vAlign w:val="center"/>
          </w:tcPr>
          <w:p w:rsidR="00CE708C" w:rsidRPr="00AC3544" w:rsidRDefault="00F0030A" w:rsidP="00CE708C">
            <w:pPr>
              <w:pStyle w:val="Textoindependiente"/>
              <w:jc w:val="left"/>
              <w:rPr>
                <w:rFonts w:ascii="Arial" w:hAnsi="Arial" w:cs="Arial"/>
                <w:sz w:val="20"/>
              </w:rPr>
            </w:pPr>
            <w:r w:rsidRPr="00AC3544">
              <w:rPr>
                <w:rFonts w:ascii="Arial" w:hAnsi="Arial" w:cs="Arial"/>
                <w:sz w:val="20"/>
              </w:rPr>
              <w:t>Frente a un pizarrón en el que hay anotados infinidad de cálculos técnicos de artillería, el general Manuel Mondragón indica al general Félix Díaz, la forma en que será dirigida la artillería rebelde hacia el Palacio Nacional el 16 de febrero de 1913.</w:t>
            </w:r>
          </w:p>
        </w:tc>
        <w:tc>
          <w:tcPr>
            <w:tcW w:w="3359" w:type="dxa"/>
            <w:vAlign w:val="center"/>
          </w:tcPr>
          <w:p w:rsidR="00CE708C" w:rsidRPr="00AC3544" w:rsidRDefault="00F0030A" w:rsidP="00110735">
            <w:pPr>
              <w:rPr>
                <w:sz w:val="20"/>
                <w:szCs w:val="20"/>
              </w:rPr>
            </w:pPr>
            <w:r w:rsidRPr="00AC3544">
              <w:rPr>
                <w:sz w:val="20"/>
                <w:szCs w:val="20"/>
                <w:lang w:val="es-MX"/>
              </w:rPr>
              <w:t>Villa en el estribo del tren en que fue conducido a la ciudad de México. Huerta envió un mensaje a Madero en el que decía, entre otras cosas: "pretendió sublevarse con los 300 hombres que mandaba. Fue puesto en el cuadro para fusilarlo, pidió perdón para su vida [...] decidiendo enviarlo a México, como jefe peligroso para la división, pues en todo quería relajar la disciplina de mis fuerzas..." Junio 7 de 1912.</w:t>
            </w:r>
          </w:p>
        </w:tc>
        <w:tc>
          <w:tcPr>
            <w:tcW w:w="3339" w:type="dxa"/>
            <w:vAlign w:val="center"/>
          </w:tcPr>
          <w:p w:rsidR="00CE708C" w:rsidRPr="00AC3544" w:rsidRDefault="00F0030A" w:rsidP="00110735">
            <w:pPr>
              <w:rPr>
                <w:sz w:val="20"/>
                <w:szCs w:val="20"/>
              </w:rPr>
            </w:pPr>
            <w:r w:rsidRPr="00AC3544">
              <w:rPr>
                <w:sz w:val="20"/>
                <w:szCs w:val="20"/>
              </w:rPr>
              <w:t>Marinos mexicanos conducidos por infantes de la marina norteamericana al fuerte de San Juan de Ulúa, a donde fueron encarcelados después de la heroica defensa del puerto de Veracruz, en abril de 1914.</w:t>
            </w:r>
          </w:p>
        </w:tc>
      </w:tr>
      <w:tr w:rsidR="00CE708C" w:rsidRPr="00AC3544" w:rsidTr="0069190E">
        <w:tc>
          <w:tcPr>
            <w:tcW w:w="3372" w:type="dxa"/>
            <w:vAlign w:val="center"/>
          </w:tcPr>
          <w:p w:rsidR="00CE708C" w:rsidRPr="00AC3544" w:rsidRDefault="00F0030A" w:rsidP="00CE708C">
            <w:pPr>
              <w:pStyle w:val="Textoindependiente"/>
              <w:jc w:val="left"/>
              <w:rPr>
                <w:rFonts w:ascii="Arial" w:hAnsi="Arial" w:cs="Arial"/>
                <w:sz w:val="20"/>
              </w:rPr>
            </w:pPr>
            <w:r w:rsidRPr="00AC3544">
              <w:rPr>
                <w:rFonts w:ascii="Arial" w:hAnsi="Arial" w:cs="Arial"/>
                <w:sz w:val="20"/>
              </w:rPr>
              <w:t>Firma</w:t>
            </w:r>
          </w:p>
        </w:tc>
        <w:tc>
          <w:tcPr>
            <w:tcW w:w="3359" w:type="dxa"/>
            <w:vAlign w:val="center"/>
          </w:tcPr>
          <w:p w:rsidR="00CE708C" w:rsidRPr="00AC3544" w:rsidRDefault="00F0030A" w:rsidP="00110735">
            <w:pPr>
              <w:rPr>
                <w:sz w:val="20"/>
                <w:szCs w:val="20"/>
                <w:lang w:val="es-MX"/>
              </w:rPr>
            </w:pPr>
            <w:r w:rsidRPr="00AC3544">
              <w:rPr>
                <w:sz w:val="20"/>
                <w:szCs w:val="20"/>
                <w:lang w:val="es-MX"/>
              </w:rPr>
              <w:t xml:space="preserve">El </w:t>
            </w:r>
            <w:r w:rsidRPr="00AC3544">
              <w:rPr>
                <w:sz w:val="20"/>
                <w:szCs w:val="20"/>
              </w:rPr>
              <w:t xml:space="preserve"> ejército constitucionalista</w:t>
            </w:r>
          </w:p>
        </w:tc>
        <w:tc>
          <w:tcPr>
            <w:tcW w:w="3339" w:type="dxa"/>
            <w:vAlign w:val="center"/>
          </w:tcPr>
          <w:p w:rsidR="00CE708C" w:rsidRPr="00AC3544" w:rsidRDefault="00F0030A" w:rsidP="00110735">
            <w:pPr>
              <w:rPr>
                <w:sz w:val="20"/>
                <w:szCs w:val="20"/>
              </w:rPr>
            </w:pPr>
            <w:r w:rsidRPr="00AC3544">
              <w:rPr>
                <w:sz w:val="20"/>
                <w:szCs w:val="20"/>
              </w:rPr>
              <w:t>Venustiano Carranza</w:t>
            </w:r>
          </w:p>
        </w:tc>
      </w:tr>
      <w:tr w:rsidR="00CE708C" w:rsidRPr="00AC3544" w:rsidTr="0069190E">
        <w:tc>
          <w:tcPr>
            <w:tcW w:w="3372" w:type="dxa"/>
            <w:vAlign w:val="center"/>
          </w:tcPr>
          <w:p w:rsidR="00CE708C" w:rsidRPr="00AC3544" w:rsidRDefault="00F0030A" w:rsidP="00CE708C">
            <w:pPr>
              <w:pStyle w:val="Textoindependiente"/>
              <w:jc w:val="left"/>
              <w:rPr>
                <w:rFonts w:ascii="Arial" w:hAnsi="Arial" w:cs="Arial"/>
                <w:sz w:val="20"/>
              </w:rPr>
            </w:pPr>
            <w:r w:rsidRPr="00AC3544">
              <w:rPr>
                <w:rFonts w:ascii="Arial" w:hAnsi="Arial" w:cs="Arial"/>
                <w:noProof/>
                <w:sz w:val="20"/>
                <w:lang w:val="es-MX" w:eastAsia="es-MX"/>
              </w:rPr>
              <w:drawing>
                <wp:inline distT="0" distB="0" distL="0" distR="0">
                  <wp:extent cx="1543685" cy="1257935"/>
                  <wp:effectExtent l="0" t="0" r="0" b="0"/>
                  <wp:docPr id="12" name="Imagen 12" descr="0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4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685" cy="1257935"/>
                          </a:xfrm>
                          <a:prstGeom prst="rect">
                            <a:avLst/>
                          </a:prstGeom>
                          <a:noFill/>
                          <a:ln>
                            <a:noFill/>
                          </a:ln>
                        </pic:spPr>
                      </pic:pic>
                    </a:graphicData>
                  </a:graphic>
                </wp:inline>
              </w:drawing>
            </w:r>
          </w:p>
        </w:tc>
        <w:tc>
          <w:tcPr>
            <w:tcW w:w="3359" w:type="dxa"/>
            <w:vAlign w:val="center"/>
          </w:tcPr>
          <w:p w:rsidR="00CE708C" w:rsidRPr="00AC3544" w:rsidRDefault="00F0030A" w:rsidP="00110735">
            <w:pPr>
              <w:rPr>
                <w:sz w:val="20"/>
                <w:szCs w:val="20"/>
                <w:lang w:val="es-MX"/>
              </w:rPr>
            </w:pPr>
            <w:r w:rsidRPr="00AC3544">
              <w:rPr>
                <w:noProof/>
                <w:sz w:val="20"/>
                <w:szCs w:val="20"/>
                <w:lang w:val="es-MX" w:eastAsia="es-MX"/>
              </w:rPr>
              <w:drawing>
                <wp:inline distT="0" distB="0" distL="0" distR="0">
                  <wp:extent cx="1602105" cy="1257935"/>
                  <wp:effectExtent l="0" t="0" r="0" b="0"/>
                  <wp:docPr id="13" name="Imagen 13" descr="0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03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2105" cy="1257935"/>
                          </a:xfrm>
                          <a:prstGeom prst="rect">
                            <a:avLst/>
                          </a:prstGeom>
                          <a:noFill/>
                          <a:ln>
                            <a:noFill/>
                          </a:ln>
                        </pic:spPr>
                      </pic:pic>
                    </a:graphicData>
                  </a:graphic>
                </wp:inline>
              </w:drawing>
            </w:r>
          </w:p>
        </w:tc>
        <w:tc>
          <w:tcPr>
            <w:tcW w:w="3339" w:type="dxa"/>
            <w:vAlign w:val="center"/>
          </w:tcPr>
          <w:p w:rsidR="00CE708C" w:rsidRPr="00AC3544" w:rsidRDefault="00F0030A" w:rsidP="00110735">
            <w:pPr>
              <w:rPr>
                <w:sz w:val="20"/>
                <w:szCs w:val="20"/>
              </w:rPr>
            </w:pPr>
            <w:r w:rsidRPr="00AC3544">
              <w:rPr>
                <w:noProof/>
                <w:sz w:val="20"/>
                <w:szCs w:val="20"/>
                <w:lang w:val="es-MX" w:eastAsia="es-MX"/>
              </w:rPr>
              <w:drawing>
                <wp:inline distT="0" distB="0" distL="0" distR="0">
                  <wp:extent cx="1082675" cy="1440815"/>
                  <wp:effectExtent l="0" t="0" r="3175" b="6985"/>
                  <wp:docPr id="14" name="Imagen 14" descr="FOT-0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T-004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675" cy="1440815"/>
                          </a:xfrm>
                          <a:prstGeom prst="rect">
                            <a:avLst/>
                          </a:prstGeom>
                          <a:noFill/>
                          <a:ln>
                            <a:noFill/>
                          </a:ln>
                        </pic:spPr>
                      </pic:pic>
                    </a:graphicData>
                  </a:graphic>
                </wp:inline>
              </w:drawing>
            </w:r>
          </w:p>
        </w:tc>
      </w:tr>
      <w:tr w:rsidR="00CE708C" w:rsidRPr="00AC3544" w:rsidTr="0069190E">
        <w:tc>
          <w:tcPr>
            <w:tcW w:w="3372" w:type="dxa"/>
            <w:vAlign w:val="center"/>
          </w:tcPr>
          <w:p w:rsidR="00CE708C" w:rsidRPr="00AC3544" w:rsidRDefault="00F0030A" w:rsidP="00CE708C">
            <w:pPr>
              <w:pStyle w:val="Textoindependiente"/>
              <w:jc w:val="left"/>
              <w:rPr>
                <w:rFonts w:ascii="Arial" w:hAnsi="Arial" w:cs="Arial"/>
                <w:sz w:val="20"/>
              </w:rPr>
            </w:pPr>
            <w:r w:rsidRPr="00AC3544">
              <w:rPr>
                <w:rFonts w:ascii="Arial" w:hAnsi="Arial" w:cs="Arial"/>
                <w:sz w:val="20"/>
              </w:rPr>
              <w:t>El general Felipe Ángeles estampa su firma en el pabellón de la Convención de Aguascalientes, después de haber protestado respetar los acuerdos que se tomaran. Observan la escena coronel Vito Alessio Robles, Gral. Samuel Santos, general Pánfilo Natera, Gral. Antonio Villarreal, Gral. José Isabel Robles y teniente coronel Marciano González. Octubre de 1914.</w:t>
            </w:r>
          </w:p>
        </w:tc>
        <w:tc>
          <w:tcPr>
            <w:tcW w:w="3359" w:type="dxa"/>
            <w:vAlign w:val="center"/>
          </w:tcPr>
          <w:p w:rsidR="00CE708C" w:rsidRPr="00AC3544" w:rsidRDefault="00F0030A" w:rsidP="00110735">
            <w:pPr>
              <w:rPr>
                <w:sz w:val="20"/>
                <w:szCs w:val="20"/>
                <w:lang w:val="es-MX"/>
              </w:rPr>
            </w:pPr>
            <w:r w:rsidRPr="00AC3544">
              <w:rPr>
                <w:sz w:val="20"/>
                <w:szCs w:val="20"/>
              </w:rPr>
              <w:t>Carranza al frente del triunfante ejército constitucionalista a su entrada a la ciudad de México. Agosto de 1914.</w:t>
            </w:r>
          </w:p>
        </w:tc>
        <w:tc>
          <w:tcPr>
            <w:tcW w:w="3339" w:type="dxa"/>
            <w:vAlign w:val="center"/>
          </w:tcPr>
          <w:p w:rsidR="00CE708C" w:rsidRPr="00AC3544" w:rsidRDefault="00F0030A" w:rsidP="00110735">
            <w:pPr>
              <w:rPr>
                <w:sz w:val="20"/>
                <w:szCs w:val="20"/>
              </w:rPr>
            </w:pPr>
            <w:r w:rsidRPr="00AC3544">
              <w:rPr>
                <w:sz w:val="20"/>
                <w:szCs w:val="20"/>
              </w:rPr>
              <w:t>Venustiano Carranza Presidente Constitucional de los Estados Unidos Mexicanos.</w:t>
            </w:r>
          </w:p>
        </w:tc>
      </w:tr>
    </w:tbl>
    <w:p w:rsidR="00E44D59" w:rsidRPr="00AC3544" w:rsidRDefault="00444EED" w:rsidP="00C473B6">
      <w:pPr>
        <w:rPr>
          <w:sz w:val="20"/>
          <w:szCs w:val="20"/>
        </w:rPr>
      </w:pPr>
    </w:p>
    <w:sectPr w:rsidR="00E44D59" w:rsidRPr="00AC3544" w:rsidSect="00471BF8">
      <w:footerReference w:type="default" r:id="rId17"/>
      <w:pgSz w:w="12240" w:h="15840"/>
      <w:pgMar w:top="1276" w:right="1080" w:bottom="108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ED" w:rsidRDefault="00444EED">
      <w:r>
        <w:separator/>
      </w:r>
    </w:p>
  </w:endnote>
  <w:endnote w:type="continuationSeparator" w:id="0">
    <w:p w:rsidR="00444EED" w:rsidRDefault="0044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B5" w:rsidRDefault="00F0030A">
    <w:pPr>
      <w:pStyle w:val="Piedepgina"/>
    </w:pPr>
    <w:r>
      <w:rPr>
        <w:noProof/>
        <w:lang w:val="es-MX" w:eastAsia="es-MX"/>
      </w:rPr>
      <w:drawing>
        <wp:anchor distT="0" distB="0" distL="114300" distR="114300" simplePos="0" relativeHeight="251666432" behindDoc="1" locked="0" layoutInCell="1" allowOverlap="1" wp14:anchorId="7B99FBBD" wp14:editId="70F5B118">
          <wp:simplePos x="0" y="0"/>
          <wp:positionH relativeFrom="column">
            <wp:posOffset>4263635</wp:posOffset>
          </wp:positionH>
          <wp:positionV relativeFrom="paragraph">
            <wp:posOffset>-1307235</wp:posOffset>
          </wp:positionV>
          <wp:extent cx="2819400" cy="1923288"/>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ordinación de Patrimonio Histórico, Artístico y Cultural galerias abiertas.jpg"/>
                  <pic:cNvPicPr/>
                </pic:nvPicPr>
                <pic:blipFill>
                  <a:blip r:embed="rId1">
                    <a:extLst>
                      <a:ext uri="{28A0092B-C50C-407E-A947-70E740481C1C}">
                        <a14:useLocalDpi xmlns:a14="http://schemas.microsoft.com/office/drawing/2010/main" val="0"/>
                      </a:ext>
                    </a:extLst>
                  </a:blip>
                  <a:stretch>
                    <a:fillRect/>
                  </a:stretch>
                </pic:blipFill>
                <pic:spPr>
                  <a:xfrm>
                    <a:off x="0" y="0"/>
                    <a:ext cx="2819400" cy="19232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ED" w:rsidRDefault="00444EED">
      <w:r>
        <w:separator/>
      </w:r>
    </w:p>
  </w:footnote>
  <w:footnote w:type="continuationSeparator" w:id="0">
    <w:p w:rsidR="00444EED" w:rsidRDefault="00444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B1E0D"/>
    <w:multiLevelType w:val="hybridMultilevel"/>
    <w:tmpl w:val="24264B4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06001D4"/>
    <w:multiLevelType w:val="hybridMultilevel"/>
    <w:tmpl w:val="A64C24F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B7653FA"/>
    <w:multiLevelType w:val="hybridMultilevel"/>
    <w:tmpl w:val="E8046C8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893C95"/>
    <w:multiLevelType w:val="hybridMultilevel"/>
    <w:tmpl w:val="E4843F8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3466FA7"/>
    <w:multiLevelType w:val="hybridMultilevel"/>
    <w:tmpl w:val="453EB4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7A528AE"/>
    <w:multiLevelType w:val="hybridMultilevel"/>
    <w:tmpl w:val="A02C658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9C651C3"/>
    <w:multiLevelType w:val="hybridMultilevel"/>
    <w:tmpl w:val="E856B21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DB35CEC"/>
    <w:multiLevelType w:val="hybridMultilevel"/>
    <w:tmpl w:val="0E0C52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E983D82"/>
    <w:multiLevelType w:val="hybridMultilevel"/>
    <w:tmpl w:val="E01651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0A856A2"/>
    <w:multiLevelType w:val="hybridMultilevel"/>
    <w:tmpl w:val="4EB25E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DE66AE7"/>
    <w:multiLevelType w:val="hybridMultilevel"/>
    <w:tmpl w:val="E7C64B9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EB64DC4"/>
    <w:multiLevelType w:val="hybridMultilevel"/>
    <w:tmpl w:val="57189B6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10"/>
  </w:num>
  <w:num w:numId="9">
    <w:abstractNumId w:val="2"/>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B4"/>
    <w:rsid w:val="003F16B4"/>
    <w:rsid w:val="00444EED"/>
    <w:rsid w:val="00AC3544"/>
    <w:rsid w:val="00C071D8"/>
    <w:rsid w:val="00F003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C0178-E7A5-4E20-926C-5976AFBB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866A61"/>
    <w:pPr>
      <w:keepNext/>
      <w:jc w:val="both"/>
      <w:outlineLvl w:val="1"/>
    </w:pPr>
    <w:rPr>
      <w:rFonts w:ascii="Comic Sans MS" w:eastAsia="Times New Roman" w:hAnsi="Comic Sans MS" w:cs="Times New Roman"/>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D59"/>
    <w:pPr>
      <w:tabs>
        <w:tab w:val="center" w:pos="4252"/>
        <w:tab w:val="right" w:pos="8504"/>
      </w:tabs>
    </w:pPr>
  </w:style>
  <w:style w:type="character" w:customStyle="1" w:styleId="EncabezadoCar">
    <w:name w:val="Encabezado Car"/>
    <w:basedOn w:val="Fuentedeprrafopredeter"/>
    <w:link w:val="Encabezado"/>
    <w:uiPriority w:val="99"/>
    <w:rsid w:val="00E44D59"/>
  </w:style>
  <w:style w:type="paragraph" w:styleId="Piedepgina">
    <w:name w:val="footer"/>
    <w:basedOn w:val="Normal"/>
    <w:link w:val="PiedepginaCar"/>
    <w:uiPriority w:val="99"/>
    <w:unhideWhenUsed/>
    <w:rsid w:val="00E44D59"/>
    <w:pPr>
      <w:tabs>
        <w:tab w:val="center" w:pos="4252"/>
        <w:tab w:val="right" w:pos="8504"/>
      </w:tabs>
    </w:pPr>
  </w:style>
  <w:style w:type="character" w:customStyle="1" w:styleId="PiedepginaCar">
    <w:name w:val="Pie de página Car"/>
    <w:basedOn w:val="Fuentedeprrafopredeter"/>
    <w:link w:val="Piedepgina"/>
    <w:uiPriority w:val="99"/>
    <w:rsid w:val="00E44D59"/>
  </w:style>
  <w:style w:type="paragraph" w:styleId="Sinespaciado">
    <w:name w:val="No Spacing"/>
    <w:link w:val="SinespaciadoCar"/>
    <w:uiPriority w:val="1"/>
    <w:qFormat/>
    <w:rsid w:val="00E44D59"/>
    <w:pPr>
      <w:spacing w:line="360" w:lineRule="auto"/>
    </w:pPr>
    <w:rPr>
      <w:sz w:val="22"/>
      <w:szCs w:val="22"/>
      <w:lang w:eastAsia="es-ES_tradnl"/>
    </w:rPr>
  </w:style>
  <w:style w:type="character" w:customStyle="1" w:styleId="SinespaciadoCar">
    <w:name w:val="Sin espaciado Car"/>
    <w:basedOn w:val="Fuentedeprrafopredeter"/>
    <w:link w:val="Sinespaciado"/>
    <w:uiPriority w:val="1"/>
    <w:rsid w:val="00E44D59"/>
    <w:rPr>
      <w:sz w:val="22"/>
      <w:szCs w:val="22"/>
      <w:lang w:eastAsia="es-ES_tradnl"/>
    </w:rPr>
  </w:style>
  <w:style w:type="paragraph" w:styleId="Textodeglobo">
    <w:name w:val="Balloon Text"/>
    <w:basedOn w:val="Normal"/>
    <w:link w:val="TextodegloboCar"/>
    <w:uiPriority w:val="99"/>
    <w:semiHidden/>
    <w:unhideWhenUsed/>
    <w:rsid w:val="005E4AB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AB5"/>
    <w:rPr>
      <w:rFonts w:ascii="Tahoma" w:hAnsi="Tahoma" w:cs="Tahoma"/>
      <w:sz w:val="16"/>
      <w:szCs w:val="16"/>
    </w:rPr>
  </w:style>
  <w:style w:type="table" w:styleId="Tablaconcuadrcula">
    <w:name w:val="Table Grid"/>
    <w:basedOn w:val="Tablanormal"/>
    <w:uiPriority w:val="59"/>
    <w:rsid w:val="00C47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110735"/>
    <w:pPr>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110735"/>
    <w:rPr>
      <w:rFonts w:ascii="Times New Roman" w:eastAsia="Times New Roman" w:hAnsi="Times New Roman" w:cs="Times New Roman"/>
      <w:szCs w:val="20"/>
    </w:rPr>
  </w:style>
  <w:style w:type="character" w:customStyle="1" w:styleId="Ttulo2Car">
    <w:name w:val="Título 2 Car"/>
    <w:basedOn w:val="Fuentedeprrafopredeter"/>
    <w:link w:val="Ttulo2"/>
    <w:rsid w:val="00866A61"/>
    <w:rPr>
      <w:rFonts w:ascii="Comic Sans MS" w:eastAsia="Times New Roman" w:hAnsi="Comic Sans MS" w:cs="Times New Roman"/>
      <w:b/>
      <w:sz w:val="32"/>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BC3A-207C-4D2A-A598-88B98E00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Francisco Gallardo Esparza</dc:creator>
  <cp:lastModifiedBy>javier</cp:lastModifiedBy>
  <cp:revision>3</cp:revision>
  <cp:lastPrinted>2017-12-11T19:01:00Z</cp:lastPrinted>
  <dcterms:created xsi:type="dcterms:W3CDTF">2018-07-19T15:03:00Z</dcterms:created>
  <dcterms:modified xsi:type="dcterms:W3CDTF">2018-07-24T17:42:00Z</dcterms:modified>
</cp:coreProperties>
</file>