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4E" w:rsidRPr="00795953" w:rsidRDefault="00BA1E4E" w:rsidP="00BC09C4">
      <w:pPr>
        <w:spacing w:line="360" w:lineRule="auto"/>
        <w:rPr>
          <w:b/>
        </w:rPr>
      </w:pPr>
      <w:r w:rsidRPr="00795953">
        <w:rPr>
          <w:b/>
        </w:rPr>
        <w:t>En busca de nueva</w:t>
      </w:r>
      <w:r w:rsidR="008004AE" w:rsidRPr="00795953">
        <w:rPr>
          <w:b/>
        </w:rPr>
        <w:t>s</w:t>
      </w:r>
      <w:r w:rsidRPr="00795953">
        <w:rPr>
          <w:b/>
        </w:rPr>
        <w:t xml:space="preserve"> maneras de </w:t>
      </w:r>
      <w:r w:rsidR="007C0C8A" w:rsidRPr="00795953">
        <w:rPr>
          <w:b/>
        </w:rPr>
        <w:t>medir</w:t>
      </w:r>
      <w:r w:rsidRPr="00795953">
        <w:rPr>
          <w:b/>
        </w:rPr>
        <w:t xml:space="preserve"> la cultura y sus complejidades</w:t>
      </w:r>
    </w:p>
    <w:p w:rsidR="00A927C0" w:rsidRPr="00A927C0" w:rsidRDefault="00A927C0" w:rsidP="00BC09C4">
      <w:pPr>
        <w:spacing w:line="360" w:lineRule="auto"/>
      </w:pPr>
    </w:p>
    <w:p w:rsidR="00742B81" w:rsidRPr="00A927C0" w:rsidRDefault="00742B81" w:rsidP="00BC09C4">
      <w:pPr>
        <w:spacing w:line="360" w:lineRule="auto"/>
        <w:rPr>
          <w:b/>
        </w:rPr>
      </w:pPr>
      <w:r w:rsidRPr="00A927C0">
        <w:rPr>
          <w:b/>
        </w:rPr>
        <w:t>Antecedentes</w:t>
      </w:r>
    </w:p>
    <w:p w:rsidR="00B07242" w:rsidRPr="00A927C0" w:rsidRDefault="00940572" w:rsidP="008004AE">
      <w:pPr>
        <w:spacing w:line="360" w:lineRule="auto"/>
      </w:pPr>
      <w:r w:rsidRPr="00A927C0">
        <w:t>De una manera franca, a partir de la Convención de la UNESCO en 2003, e</w:t>
      </w:r>
      <w:r w:rsidR="00B251F8" w:rsidRPr="00A927C0">
        <w:t xml:space="preserve">l principio de </w:t>
      </w:r>
      <w:r w:rsidR="009A5BE2" w:rsidRPr="00A927C0">
        <w:t>r</w:t>
      </w:r>
      <w:r w:rsidR="00B251F8" w:rsidRPr="00A927C0">
        <w:t>espeto a la diversidad cultural y</w:t>
      </w:r>
      <w:r w:rsidR="002002A4" w:rsidRPr="00A927C0">
        <w:t xml:space="preserve"> </w:t>
      </w:r>
      <w:r w:rsidR="00B07242" w:rsidRPr="00A927C0">
        <w:t xml:space="preserve">una ampliada noción de </w:t>
      </w:r>
      <w:r w:rsidR="00B251F8" w:rsidRPr="00A927C0">
        <w:t>la creatividad humana ha</w:t>
      </w:r>
      <w:r w:rsidR="006E1F82" w:rsidRPr="00A927C0">
        <w:t>n</w:t>
      </w:r>
      <w:r w:rsidR="00B251F8" w:rsidRPr="00A927C0">
        <w:t xml:space="preserve"> proyectado la importancia de lo que </w:t>
      </w:r>
      <w:r w:rsidR="009A5BE2" w:rsidRPr="00A927C0">
        <w:t xml:space="preserve">se </w:t>
      </w:r>
      <w:r w:rsidR="00B251F8" w:rsidRPr="00A927C0">
        <w:t>n</w:t>
      </w:r>
      <w:r w:rsidRPr="00A927C0">
        <w:t>ombra hoy patrimonio inmaterial, haciéndose</w:t>
      </w:r>
      <w:r w:rsidR="00B251F8" w:rsidRPr="00A927C0">
        <w:t xml:space="preserve"> </w:t>
      </w:r>
      <w:r w:rsidR="00B07242" w:rsidRPr="00A927C0">
        <w:t xml:space="preserve">esto </w:t>
      </w:r>
      <w:r w:rsidR="00B251F8" w:rsidRPr="00A927C0">
        <w:t xml:space="preserve">una </w:t>
      </w:r>
      <w:r w:rsidR="009A5BE2" w:rsidRPr="00A927C0">
        <w:t xml:space="preserve">tendencia de los gobiernos </w:t>
      </w:r>
      <w:r w:rsidRPr="00A927C0">
        <w:t>democráticos para</w:t>
      </w:r>
      <w:r w:rsidR="009A5BE2" w:rsidRPr="00A927C0">
        <w:t xml:space="preserve"> establecer sus políticas</w:t>
      </w:r>
      <w:r w:rsidR="00B251F8" w:rsidRPr="00A927C0">
        <w:t xml:space="preserve"> </w:t>
      </w:r>
      <w:r w:rsidR="009A5BE2" w:rsidRPr="00A927C0">
        <w:t>de desarrollo humano y cultural</w:t>
      </w:r>
      <w:r w:rsidR="00B07242" w:rsidRPr="00A927C0">
        <w:t>.</w:t>
      </w:r>
      <w:r w:rsidRPr="00A927C0">
        <w:t xml:space="preserve"> </w:t>
      </w:r>
      <w:r w:rsidR="00B07242" w:rsidRPr="00A927C0">
        <w:t>Así, sumadas a las</w:t>
      </w:r>
      <w:r w:rsidRPr="00A927C0">
        <w:t xml:space="preserve"> expresiones de </w:t>
      </w:r>
      <w:proofErr w:type="gramStart"/>
      <w:r w:rsidRPr="00A927C0">
        <w:t xml:space="preserve">creatividad artística </w:t>
      </w:r>
      <w:r w:rsidR="00B07242" w:rsidRPr="00A927C0">
        <w:t>tradicionales</w:t>
      </w:r>
      <w:proofErr w:type="gramEnd"/>
      <w:r w:rsidR="00B07242" w:rsidRPr="00A927C0">
        <w:t xml:space="preserve">, </w:t>
      </w:r>
      <w:r w:rsidRPr="00A927C0">
        <w:t xml:space="preserve">las </w:t>
      </w:r>
      <w:r w:rsidR="002002A4" w:rsidRPr="00A927C0">
        <w:t xml:space="preserve">fiestas, festivales, encuentros y ferias, </w:t>
      </w:r>
      <w:r w:rsidR="00B07242" w:rsidRPr="00A927C0">
        <w:t>siendo</w:t>
      </w:r>
      <w:r w:rsidR="002002A4" w:rsidRPr="00A927C0">
        <w:t xml:space="preserve"> </w:t>
      </w:r>
      <w:r w:rsidR="00B07242" w:rsidRPr="00A927C0">
        <w:t xml:space="preserve">fenómenos </w:t>
      </w:r>
      <w:r w:rsidR="002002A4" w:rsidRPr="00A927C0">
        <w:t>de reunión colectiva</w:t>
      </w:r>
      <w:r w:rsidR="00B07242" w:rsidRPr="00A927C0">
        <w:t>, son consideradas manifestaciones vivas de las diversas culturas que</w:t>
      </w:r>
      <w:r w:rsidR="000D4B81" w:rsidRPr="00A927C0">
        <w:t xml:space="preserve"> cohabitan en una misma nación.</w:t>
      </w:r>
      <w:r w:rsidR="00B07242" w:rsidRPr="00A927C0">
        <w:t xml:space="preserve"> </w:t>
      </w:r>
      <w:r w:rsidR="00024DAD" w:rsidRPr="00A927C0">
        <w:t>L</w:t>
      </w:r>
      <w:r w:rsidR="000D4B81" w:rsidRPr="00A927C0">
        <w:t xml:space="preserve">a novedad es </w:t>
      </w:r>
      <w:r w:rsidR="00024DAD" w:rsidRPr="00A927C0">
        <w:t>el principio de aplicación</w:t>
      </w:r>
      <w:r w:rsidR="000D4B81" w:rsidRPr="00A927C0">
        <w:t xml:space="preserve"> de políticas</w:t>
      </w:r>
      <w:r w:rsidR="00393E85" w:rsidRPr="00A927C0">
        <w:t xml:space="preserve"> públicas</w:t>
      </w:r>
      <w:r w:rsidR="00024DAD" w:rsidRPr="00A927C0">
        <w:t xml:space="preserve"> que asumen los espacios colectivos como recreativos del sentido de identidad;</w:t>
      </w:r>
      <w:r w:rsidR="000D4B81" w:rsidRPr="00A927C0">
        <w:t xml:space="preserve"> </w:t>
      </w:r>
      <w:r w:rsidR="00024DAD" w:rsidRPr="00A927C0">
        <w:t>consideraciones de inclusión</w:t>
      </w:r>
      <w:r w:rsidR="000D4B81" w:rsidRPr="00A927C0">
        <w:t xml:space="preserve"> que expresan mejor la complejidad y aportes de </w:t>
      </w:r>
      <w:r w:rsidR="000D4B81" w:rsidRPr="00A927C0">
        <w:rPr>
          <w:i/>
        </w:rPr>
        <w:t>las culturas</w:t>
      </w:r>
      <w:r w:rsidR="00393E85" w:rsidRPr="00A927C0">
        <w:t xml:space="preserve"> a la vida en sus dimensiones sociales, políticas y simbólicas</w:t>
      </w:r>
      <w:r w:rsidR="000D4B81" w:rsidRPr="00A927C0">
        <w:t>.</w:t>
      </w:r>
      <w:r w:rsidR="00024DAD" w:rsidRPr="00A927C0">
        <w:t xml:space="preserve"> </w:t>
      </w:r>
    </w:p>
    <w:p w:rsidR="00E17E37" w:rsidRPr="00A927C0" w:rsidRDefault="007C0C8A" w:rsidP="00BC09C4">
      <w:pPr>
        <w:spacing w:line="360" w:lineRule="auto"/>
        <w:rPr>
          <w:b/>
        </w:rPr>
      </w:pPr>
      <w:r w:rsidRPr="00A927C0">
        <w:rPr>
          <w:b/>
        </w:rPr>
        <w:t>•••</w:t>
      </w:r>
    </w:p>
    <w:p w:rsidR="00645EB6" w:rsidRPr="00A927C0" w:rsidRDefault="00393E85" w:rsidP="007C0C8A">
      <w:pPr>
        <w:spacing w:line="360" w:lineRule="auto"/>
      </w:pPr>
      <w:r w:rsidRPr="00A927C0">
        <w:t>Los nuevos planteamientos para las políticas públicas conllevan su afirmación mediante la búsqueda de las mejores maneras en que</w:t>
      </w:r>
      <w:r w:rsidR="008372D2" w:rsidRPr="00A927C0">
        <w:t xml:space="preserve"> las</w:t>
      </w:r>
      <w:r w:rsidRPr="00A927C0">
        <w:t xml:space="preserve"> culturas</w:t>
      </w:r>
      <w:r w:rsidR="008372D2" w:rsidRPr="00A927C0">
        <w:t xml:space="preserve"> puedan</w:t>
      </w:r>
      <w:r w:rsidR="00A87CDB" w:rsidRPr="00A927C0">
        <w:t xml:space="preserve"> </w:t>
      </w:r>
      <w:r w:rsidR="008372D2" w:rsidRPr="00A927C0">
        <w:t>manifestarse</w:t>
      </w:r>
      <w:r w:rsidRPr="00A927C0">
        <w:t xml:space="preserve">. </w:t>
      </w:r>
      <w:r w:rsidR="00023148" w:rsidRPr="00A927C0">
        <w:t xml:space="preserve">Con ello, una nueva literatura ha emergido, llena de debates y aproximaciones </w:t>
      </w:r>
      <w:r w:rsidR="000D362C" w:rsidRPr="00A927C0">
        <w:t xml:space="preserve">sobre el </w:t>
      </w:r>
      <w:r w:rsidR="00023148" w:rsidRPr="00A927C0">
        <w:t xml:space="preserve">fenómeno de las culturas. </w:t>
      </w:r>
      <w:r w:rsidR="00645EB6" w:rsidRPr="00A927C0">
        <w:t>Bajo est</w:t>
      </w:r>
      <w:r w:rsidR="003D58EE" w:rsidRPr="00A927C0">
        <w:t>a perspectiva,</w:t>
      </w:r>
      <w:r w:rsidR="00645EB6" w:rsidRPr="00A927C0">
        <w:t xml:space="preserve"> se </w:t>
      </w:r>
      <w:r w:rsidR="008372D2" w:rsidRPr="00A927C0">
        <w:t>presupone</w:t>
      </w:r>
      <w:r w:rsidR="00645EB6" w:rsidRPr="00A927C0">
        <w:t xml:space="preserve"> que las culturas liberan, no detienen, y eso es lo que </w:t>
      </w:r>
      <w:r w:rsidR="000D362C" w:rsidRPr="00A927C0">
        <w:t>permite</w:t>
      </w:r>
      <w:r w:rsidR="00645EB6" w:rsidRPr="00A927C0">
        <w:t xml:space="preserve"> medir</w:t>
      </w:r>
      <w:r w:rsidR="000D362C" w:rsidRPr="00A927C0">
        <w:t>,</w:t>
      </w:r>
      <w:r w:rsidR="00645EB6" w:rsidRPr="00A927C0">
        <w:t xml:space="preserve"> con mayor</w:t>
      </w:r>
      <w:r w:rsidRPr="00A927C0">
        <w:t xml:space="preserve"> </w:t>
      </w:r>
      <w:r w:rsidR="00645EB6" w:rsidRPr="00A927C0">
        <w:t xml:space="preserve">realismo, sin menospreciar lo cuantitativo, lo cualitativo: la calidad de la expresión en los eventos o sucesos colectivos e individuales. </w:t>
      </w:r>
    </w:p>
    <w:p w:rsidR="006B3DA8" w:rsidRPr="00A927C0" w:rsidRDefault="00D706D5" w:rsidP="00981ABA">
      <w:pPr>
        <w:spacing w:line="360" w:lineRule="auto"/>
        <w:ind w:firstLine="708"/>
      </w:pPr>
      <w:r w:rsidRPr="00A927C0">
        <w:t xml:space="preserve">Medir la participación cultural es  medir y comprender los aspectos cuantitativos y cualitativos de la </w:t>
      </w:r>
      <w:r w:rsidR="00F07B9E" w:rsidRPr="00A927C0">
        <w:t>intervención</w:t>
      </w:r>
      <w:r w:rsidR="00F07B9E" w:rsidRPr="00A927C0" w:rsidDel="00F07B9E">
        <w:t xml:space="preserve"> </w:t>
      </w:r>
      <w:r w:rsidRPr="00A927C0">
        <w:t>de las personas en toda actividad</w:t>
      </w:r>
      <w:r w:rsidR="008B4697" w:rsidRPr="00A927C0">
        <w:t>,</w:t>
      </w:r>
      <w:r w:rsidRPr="00A927C0">
        <w:t xml:space="preserve"> de modo tal que </w:t>
      </w:r>
      <w:r w:rsidR="00E945FD" w:rsidRPr="00A927C0">
        <w:t>represente</w:t>
      </w:r>
      <w:r w:rsidRPr="00A927C0">
        <w:t xml:space="preserve"> una forma de aumentar su propia capacidad cultural, informativa y capital</w:t>
      </w:r>
      <w:r w:rsidR="008B4697" w:rsidRPr="00A927C0">
        <w:t>;</w:t>
      </w:r>
      <w:r w:rsidRPr="00A927C0">
        <w:t xml:space="preserve"> ayude a definir su identidad </w:t>
      </w:r>
      <w:r w:rsidR="008372D2" w:rsidRPr="00A927C0">
        <w:t xml:space="preserve">colectiva </w:t>
      </w:r>
      <w:r w:rsidRPr="00A927C0">
        <w:t>o</w:t>
      </w:r>
      <w:r w:rsidR="008372D2" w:rsidRPr="00A927C0">
        <w:t xml:space="preserve"> permita su expresión personal</w:t>
      </w:r>
      <w:r w:rsidR="008B4697" w:rsidRPr="00A927C0">
        <w:t>;</w:t>
      </w:r>
      <w:r w:rsidR="008372D2" w:rsidRPr="00A927C0">
        <w:t xml:space="preserve"> </w:t>
      </w:r>
      <w:r w:rsidR="008B4697" w:rsidRPr="00A927C0">
        <w:t xml:space="preserve">y </w:t>
      </w:r>
      <w:r w:rsidR="004F4F39" w:rsidRPr="00A927C0">
        <w:t>confirme</w:t>
      </w:r>
      <w:r w:rsidR="008B4697" w:rsidRPr="00A927C0">
        <w:t xml:space="preserve"> </w:t>
      </w:r>
      <w:r w:rsidR="008372D2" w:rsidRPr="00A927C0">
        <w:t>la vigencia de sus derechos culturales.</w:t>
      </w:r>
    </w:p>
    <w:p w:rsidR="006B3DA8" w:rsidRPr="00A927C0" w:rsidRDefault="00D706D5" w:rsidP="00981ABA">
      <w:pPr>
        <w:spacing w:line="360" w:lineRule="auto"/>
        <w:ind w:firstLine="708"/>
      </w:pPr>
      <w:r w:rsidRPr="00A927C0">
        <w:lastRenderedPageBreak/>
        <w:t>Dadas estas circunstancias, una serie de ideas se han ido conformando para poder precisar cómo medir la participación cultural</w:t>
      </w:r>
      <w:r w:rsidR="00E945FD" w:rsidRPr="00A927C0">
        <w:t>;</w:t>
      </w:r>
      <w:r w:rsidRPr="00A927C0">
        <w:t xml:space="preserve"> </w:t>
      </w:r>
      <w:r w:rsidR="00E945FD" w:rsidRPr="00A927C0">
        <w:t>entre</w:t>
      </w:r>
      <w:r w:rsidRPr="00A927C0">
        <w:t xml:space="preserve"> ellas</w:t>
      </w:r>
      <w:r w:rsidR="00E945FD" w:rsidRPr="00A927C0">
        <w:t xml:space="preserve"> se observa</w:t>
      </w:r>
      <w:r w:rsidRPr="00A927C0">
        <w:t xml:space="preserve"> la aplicación de la </w:t>
      </w:r>
      <w:r w:rsidRPr="00A927C0">
        <w:rPr>
          <w:b/>
        </w:rPr>
        <w:t>demoscopía</w:t>
      </w:r>
      <w:r w:rsidRPr="00A927C0">
        <w:t xml:space="preserve">: un recurso muy </w:t>
      </w:r>
      <w:r w:rsidR="00E945FD" w:rsidRPr="00A927C0">
        <w:t>frecuente</w:t>
      </w:r>
      <w:r w:rsidR="00E945FD" w:rsidRPr="00A927C0" w:rsidDel="00E945FD">
        <w:t xml:space="preserve"> </w:t>
      </w:r>
      <w:r w:rsidR="00E945FD" w:rsidRPr="00A927C0">
        <w:t>y</w:t>
      </w:r>
      <w:r w:rsidRPr="00A927C0">
        <w:t xml:space="preserve"> efectivo que ha logrado facilitar enfoques comunes que favorecen los análisis comparativos en la creatividad cultural. </w:t>
      </w:r>
      <w:r w:rsidR="00C152FC" w:rsidRPr="00A927C0">
        <w:t xml:space="preserve">La aplicación de </w:t>
      </w:r>
      <w:r w:rsidR="00C152FC" w:rsidRPr="00A927C0">
        <w:rPr>
          <w:b/>
        </w:rPr>
        <w:t>encuestas</w:t>
      </w:r>
      <w:r w:rsidR="00C152FC" w:rsidRPr="00A927C0">
        <w:t xml:space="preserve"> ha arrojado muy buenos resultados. </w:t>
      </w:r>
      <w:r w:rsidRPr="00A927C0">
        <w:t xml:space="preserve">Para el diseño de encuestas se necesita alcanzar el equilibrio entre varios factores, por ejemplo: </w:t>
      </w:r>
      <w:r w:rsidR="006B3DA8" w:rsidRPr="00A927C0">
        <w:t>preguntas y respuestas precisas</w:t>
      </w:r>
      <w:r w:rsidR="00E945FD" w:rsidRPr="00A927C0">
        <w:t>;</w:t>
      </w:r>
      <w:r w:rsidR="006B3DA8" w:rsidRPr="00A927C0">
        <w:t xml:space="preserve"> i</w:t>
      </w:r>
      <w:r w:rsidRPr="00A927C0">
        <w:t>ntereses de las agencias que hacen el trabajo y la percepción de</w:t>
      </w:r>
      <w:r w:rsidR="006B3DA8" w:rsidRPr="00A927C0">
        <w:t xml:space="preserve"> la población (los encuestados); </w:t>
      </w:r>
      <w:r w:rsidR="00C152FC" w:rsidRPr="00A927C0">
        <w:t xml:space="preserve">y </w:t>
      </w:r>
      <w:r w:rsidR="006B3DA8" w:rsidRPr="00A927C0">
        <w:t>c</w:t>
      </w:r>
      <w:r w:rsidRPr="00A927C0">
        <w:t>onsiderar que los conceptos de “cultura” y “actividades culturales” son fundamentales para los diferentes grupos de la población (según sus antecedentes y afiliación étnica, gén</w:t>
      </w:r>
      <w:r w:rsidR="006B3DA8" w:rsidRPr="00A927C0">
        <w:t>ero, edad, ubicación, etcétera)</w:t>
      </w:r>
      <w:r w:rsidR="00C152FC" w:rsidRPr="00A927C0">
        <w:t>. Además,</w:t>
      </w:r>
      <w:r w:rsidR="006B3DA8" w:rsidRPr="00A927C0">
        <w:t xml:space="preserve"> s</w:t>
      </w:r>
      <w:r w:rsidRPr="00A927C0">
        <w:t xml:space="preserve">e requiere balancear las especificidades espaciales seleccionadas con el deseo de hacer comparaciones entre </w:t>
      </w:r>
      <w:r w:rsidR="00C152FC" w:rsidRPr="00A927C0">
        <w:t>puntos</w:t>
      </w:r>
      <w:r w:rsidRPr="00A927C0">
        <w:t xml:space="preserve"> diversos</w:t>
      </w:r>
      <w:r w:rsidR="006B3DA8" w:rsidRPr="00A927C0">
        <w:t>; a</w:t>
      </w:r>
      <w:r w:rsidRPr="00A927C0">
        <w:t xml:space="preserve">ctualizar las definiciones y actividades, y el deseo de comparar las </w:t>
      </w:r>
      <w:r w:rsidR="006B3DA8" w:rsidRPr="00A927C0">
        <w:t>encuestas a lo largo del tiempo; d</w:t>
      </w:r>
      <w:r w:rsidRPr="00A927C0">
        <w:t>escri</w:t>
      </w:r>
      <w:r w:rsidR="006B3DA8" w:rsidRPr="00A927C0">
        <w:t>bir y comprender los resultados; t</w:t>
      </w:r>
      <w:r w:rsidRPr="00A927C0">
        <w:t>ener la voluntad de profundizar sobre ciertos temas y las restricciones de tiempo y dinero que limitan el espectro, la frecuencia y la longitud de una enc</w:t>
      </w:r>
      <w:r w:rsidR="006B3DA8" w:rsidRPr="00A927C0">
        <w:t xml:space="preserve">uesta. </w:t>
      </w:r>
    </w:p>
    <w:p w:rsidR="00D706D5" w:rsidRPr="00A927C0" w:rsidRDefault="005D4939" w:rsidP="00981ABA">
      <w:pPr>
        <w:spacing w:line="360" w:lineRule="auto"/>
        <w:ind w:firstLine="708"/>
      </w:pPr>
      <w:r w:rsidRPr="00A927C0">
        <w:t>De esta forma</w:t>
      </w:r>
      <w:r w:rsidR="006B3DA8" w:rsidRPr="00A927C0">
        <w:t>, una variedad de encuestas se suman para ofrecer datos diversos</w:t>
      </w:r>
      <w:r w:rsidR="00D706D5" w:rsidRPr="00A927C0">
        <w:t>:</w:t>
      </w:r>
    </w:p>
    <w:p w:rsidR="00D706D5" w:rsidRPr="00A927C0" w:rsidRDefault="006B3DA8" w:rsidP="006B3DA8">
      <w:pPr>
        <w:spacing w:line="360" w:lineRule="auto"/>
      </w:pPr>
      <w:r w:rsidRPr="00A927C0">
        <w:t xml:space="preserve">— </w:t>
      </w:r>
      <w:r w:rsidR="00D706D5" w:rsidRPr="00A927C0">
        <w:t>Encuestas de visitantes o públicos: dirigidas a un público en particular para recabar información sobre una oferta cultural específica. Permite obtener una idea inmediata de la composición de un grupo y conocer su comportamiento, actitudes, preferencias y niveles de satisfacción</w:t>
      </w:r>
    </w:p>
    <w:p w:rsidR="00D706D5" w:rsidRPr="00A927C0" w:rsidRDefault="006B3DA8" w:rsidP="006B3DA8">
      <w:pPr>
        <w:spacing w:line="360" w:lineRule="auto"/>
      </w:pPr>
      <w:r w:rsidRPr="00A927C0">
        <w:t xml:space="preserve">— </w:t>
      </w:r>
      <w:r w:rsidR="00D706D5" w:rsidRPr="00A927C0">
        <w:t>Encuesta muestral de la población general: dirigida a toda la población de una zona para estudiar los fenómenos de la participación cultural de manera global y exhaustiva.</w:t>
      </w:r>
    </w:p>
    <w:p w:rsidR="00D706D5" w:rsidRPr="00A927C0" w:rsidRDefault="006B3DA8" w:rsidP="006B3DA8">
      <w:pPr>
        <w:spacing w:line="360" w:lineRule="auto"/>
      </w:pPr>
      <w:r w:rsidRPr="00A927C0">
        <w:t xml:space="preserve">— </w:t>
      </w:r>
      <w:r w:rsidR="00D706D5" w:rsidRPr="00A927C0">
        <w:t xml:space="preserve">Encuestas sobre el uso del tiempo (EUT): diseñadas para saber cómo usa y pasa el tiempo la población. Nos ayuda a entender la relación entre la participación cultural y otras actividades de la vida diaria. </w:t>
      </w:r>
    </w:p>
    <w:p w:rsidR="00D706D5" w:rsidRPr="00A927C0" w:rsidRDefault="006B3DA8" w:rsidP="006B3DA8">
      <w:pPr>
        <w:spacing w:line="360" w:lineRule="auto"/>
      </w:pPr>
      <w:r w:rsidRPr="00A927C0">
        <w:lastRenderedPageBreak/>
        <w:t xml:space="preserve">— </w:t>
      </w:r>
      <w:r w:rsidR="00D706D5" w:rsidRPr="00A927C0">
        <w:t>Encuestas sobre gastos domésticos: se les pide a los hogares que proporcionen información sobre sus gastos en bienes de consumo y servicio, y otros propósitos, durante un tiempo determinado.</w:t>
      </w:r>
    </w:p>
    <w:p w:rsidR="00D706D5" w:rsidRPr="00A927C0" w:rsidRDefault="00D706D5" w:rsidP="00981ABA">
      <w:pPr>
        <w:spacing w:line="360" w:lineRule="auto"/>
        <w:ind w:firstLine="360"/>
      </w:pPr>
      <w:r w:rsidRPr="00A927C0">
        <w:t xml:space="preserve">Los indicadores </w:t>
      </w:r>
      <w:r w:rsidRPr="00A927C0">
        <w:rPr>
          <w:b/>
        </w:rPr>
        <w:t>estadísticos</w:t>
      </w:r>
      <w:r w:rsidRPr="00A927C0">
        <w:t xml:space="preserve"> son otro instrumento de gran importancia que posibilitan un análisis todavía más profundo en los estudios de participación para conocer  los niveles de involucramiento en las artes o eventos culturales, ya sean acerca de la sociedad en general o de subgrupos específicos. Estos pueden ser:</w:t>
      </w:r>
    </w:p>
    <w:p w:rsidR="00D706D5" w:rsidRPr="00A927C0" w:rsidRDefault="00D706D5" w:rsidP="00D706D5">
      <w:pPr>
        <w:pStyle w:val="Prrafodelista"/>
        <w:numPr>
          <w:ilvl w:val="0"/>
          <w:numId w:val="1"/>
        </w:numPr>
        <w:spacing w:line="360" w:lineRule="auto"/>
        <w:rPr>
          <w:sz w:val="24"/>
          <w:szCs w:val="24"/>
        </w:rPr>
      </w:pPr>
      <w:r w:rsidRPr="00A927C0">
        <w:rPr>
          <w:sz w:val="24"/>
          <w:szCs w:val="24"/>
        </w:rPr>
        <w:t>Registros administrativos que sirven para obtener información basada en números</w:t>
      </w:r>
      <w:r w:rsidR="006770C2" w:rsidRPr="00A927C0">
        <w:rPr>
          <w:sz w:val="24"/>
          <w:szCs w:val="24"/>
        </w:rPr>
        <w:t>.</w:t>
      </w:r>
    </w:p>
    <w:p w:rsidR="00D706D5" w:rsidRPr="00A927C0" w:rsidRDefault="00D706D5" w:rsidP="00D706D5">
      <w:pPr>
        <w:pStyle w:val="Prrafodelista"/>
        <w:numPr>
          <w:ilvl w:val="0"/>
          <w:numId w:val="1"/>
        </w:numPr>
        <w:spacing w:line="360" w:lineRule="auto"/>
        <w:rPr>
          <w:sz w:val="24"/>
          <w:szCs w:val="24"/>
        </w:rPr>
      </w:pPr>
      <w:r w:rsidRPr="00A927C0">
        <w:rPr>
          <w:sz w:val="24"/>
          <w:szCs w:val="24"/>
        </w:rPr>
        <w:t>Índice de participación en actividades culturales</w:t>
      </w:r>
      <w:r w:rsidR="006770C2" w:rsidRPr="00A927C0">
        <w:rPr>
          <w:sz w:val="24"/>
          <w:szCs w:val="24"/>
        </w:rPr>
        <w:t>.</w:t>
      </w:r>
    </w:p>
    <w:p w:rsidR="00D706D5" w:rsidRPr="00A927C0" w:rsidRDefault="00D706D5" w:rsidP="00D706D5">
      <w:pPr>
        <w:pStyle w:val="Prrafodelista"/>
        <w:numPr>
          <w:ilvl w:val="0"/>
          <w:numId w:val="1"/>
        </w:numPr>
        <w:spacing w:line="360" w:lineRule="auto"/>
        <w:rPr>
          <w:sz w:val="24"/>
          <w:szCs w:val="24"/>
        </w:rPr>
      </w:pPr>
      <w:r w:rsidRPr="00A927C0">
        <w:rPr>
          <w:sz w:val="24"/>
          <w:szCs w:val="24"/>
        </w:rPr>
        <w:t>Índice de frecuencia de actividades culturales</w:t>
      </w:r>
      <w:r w:rsidR="006770C2" w:rsidRPr="00A927C0">
        <w:rPr>
          <w:sz w:val="24"/>
          <w:szCs w:val="24"/>
        </w:rPr>
        <w:t>.</w:t>
      </w:r>
    </w:p>
    <w:p w:rsidR="00D706D5" w:rsidRPr="00A927C0" w:rsidRDefault="00D706D5" w:rsidP="00D706D5">
      <w:pPr>
        <w:pStyle w:val="Prrafodelista"/>
        <w:numPr>
          <w:ilvl w:val="0"/>
          <w:numId w:val="1"/>
        </w:numPr>
        <w:spacing w:line="360" w:lineRule="auto"/>
        <w:rPr>
          <w:sz w:val="24"/>
          <w:szCs w:val="24"/>
        </w:rPr>
      </w:pPr>
      <w:r w:rsidRPr="00A927C0">
        <w:rPr>
          <w:sz w:val="24"/>
          <w:szCs w:val="24"/>
        </w:rPr>
        <w:t>Tiempo pasado en la participación cultural</w:t>
      </w:r>
      <w:r w:rsidR="006770C2" w:rsidRPr="00A927C0">
        <w:rPr>
          <w:sz w:val="24"/>
          <w:szCs w:val="24"/>
        </w:rPr>
        <w:t>.</w:t>
      </w:r>
    </w:p>
    <w:p w:rsidR="00D706D5" w:rsidRPr="00A927C0" w:rsidRDefault="00D706D5" w:rsidP="00D706D5">
      <w:pPr>
        <w:pStyle w:val="Prrafodelista"/>
        <w:numPr>
          <w:ilvl w:val="0"/>
          <w:numId w:val="1"/>
        </w:numPr>
        <w:spacing w:line="360" w:lineRule="auto"/>
        <w:rPr>
          <w:sz w:val="24"/>
          <w:szCs w:val="24"/>
        </w:rPr>
      </w:pPr>
      <w:r w:rsidRPr="00A927C0">
        <w:rPr>
          <w:sz w:val="24"/>
          <w:szCs w:val="24"/>
        </w:rPr>
        <w:t>Gasto cultural</w:t>
      </w:r>
      <w:r w:rsidR="006770C2" w:rsidRPr="00A927C0">
        <w:rPr>
          <w:sz w:val="24"/>
          <w:szCs w:val="24"/>
        </w:rPr>
        <w:t>.</w:t>
      </w:r>
    </w:p>
    <w:p w:rsidR="00D706D5" w:rsidRPr="00A927C0" w:rsidRDefault="00D706D5" w:rsidP="00981ABA">
      <w:pPr>
        <w:spacing w:line="360" w:lineRule="auto"/>
        <w:ind w:firstLine="360"/>
      </w:pPr>
      <w:r w:rsidRPr="00A927C0">
        <w:t xml:space="preserve">Como vemos, el enfoque estadístico ofrece enormes posibilidades para dar forma o medida a los fenómenos culturales. Dentro de este marco de mediciones cifradas hay una variedad de fuentes en los </w:t>
      </w:r>
      <w:r w:rsidRPr="00A927C0">
        <w:rPr>
          <w:b/>
        </w:rPr>
        <w:t>registros administrativos</w:t>
      </w:r>
      <w:r w:rsidRPr="00A927C0">
        <w:t xml:space="preserve"> qu</w:t>
      </w:r>
      <w:r w:rsidR="006770C2" w:rsidRPr="00A927C0">
        <w:t xml:space="preserve">e aportan </w:t>
      </w:r>
      <w:r w:rsidRPr="00A927C0">
        <w:t>información relativa a la admisión a museos y galerías, venta de boletos, ingresos de taquilla de teatros, número de personas registradas en una biblioteca, etcétera.</w:t>
      </w:r>
    </w:p>
    <w:p w:rsidR="00D706D5" w:rsidRPr="00A927C0" w:rsidRDefault="00D706D5" w:rsidP="00981ABA">
      <w:pPr>
        <w:spacing w:line="360" w:lineRule="auto"/>
        <w:ind w:firstLine="360"/>
      </w:pPr>
      <w:r w:rsidRPr="00A927C0">
        <w:t xml:space="preserve">El </w:t>
      </w:r>
      <w:r w:rsidRPr="00A927C0">
        <w:rPr>
          <w:b/>
        </w:rPr>
        <w:t>enfoque cualitativo</w:t>
      </w:r>
      <w:r w:rsidR="007A275C" w:rsidRPr="00A927C0">
        <w:t xml:space="preserve"> s</w:t>
      </w:r>
      <w:r w:rsidR="0038279B" w:rsidRPr="00A927C0">
        <w:t xml:space="preserve">e ha ido convirtiendo en una mayor necesidad  para la ponderación de los sucesos colectivos de expresiones </w:t>
      </w:r>
      <w:proofErr w:type="spellStart"/>
      <w:r w:rsidR="0038279B" w:rsidRPr="00A927C0">
        <w:t>identitarias</w:t>
      </w:r>
      <w:proofErr w:type="spellEnd"/>
      <w:r w:rsidR="007A275C" w:rsidRPr="00A927C0">
        <w:t>. Los indicadores de calidad, que representan un reto muy diferente a lo cuantitativo, aunque como complemento se ha hecho indispensable, contribuyen a evitar una homogeneización excesiva en la representación de los fenómenos culturales</w:t>
      </w:r>
      <w:r w:rsidR="00175068" w:rsidRPr="00A927C0">
        <w:t>,</w:t>
      </w:r>
      <w:r w:rsidR="007A275C" w:rsidRPr="00A927C0">
        <w:t xml:space="preserve"> </w:t>
      </w:r>
      <w:r w:rsidR="00175068" w:rsidRPr="00A927C0">
        <w:t xml:space="preserve">y </w:t>
      </w:r>
      <w:r w:rsidR="007A275C" w:rsidRPr="00A927C0">
        <w:t>evita</w:t>
      </w:r>
      <w:r w:rsidR="00175068" w:rsidRPr="00A927C0">
        <w:t>n también</w:t>
      </w:r>
      <w:r w:rsidR="007A275C" w:rsidRPr="00A927C0">
        <w:t xml:space="preserve"> que la especificidad y singularidad debida a cada cultura sea discriminada. </w:t>
      </w:r>
    </w:p>
    <w:p w:rsidR="007C0C8A" w:rsidRPr="00A927C0" w:rsidRDefault="00D706D5" w:rsidP="007C0C8A">
      <w:pPr>
        <w:spacing w:line="360" w:lineRule="auto"/>
        <w:ind w:firstLine="360"/>
      </w:pPr>
      <w:r w:rsidRPr="00A927C0">
        <w:t>Este tipo de enfoque contribuye a la comprensión de temas complejos, como</w:t>
      </w:r>
      <w:r w:rsidR="0074580F" w:rsidRPr="00A927C0">
        <w:t xml:space="preserve"> </w:t>
      </w:r>
      <w:r w:rsidRPr="00A927C0">
        <w:t>hábitos, comportamiento</w:t>
      </w:r>
      <w:r w:rsidR="00156F15" w:rsidRPr="00A927C0">
        <w:t>s</w:t>
      </w:r>
      <w:r w:rsidRPr="00A927C0">
        <w:t xml:space="preserve"> y actitudes. Entre las herramientas más utilizadas </w:t>
      </w:r>
      <w:r w:rsidR="00156F15" w:rsidRPr="00A927C0">
        <w:t xml:space="preserve">en estos casos, </w:t>
      </w:r>
      <w:r w:rsidRPr="00A927C0">
        <w:t>se encuentran las entrevistas a experto</w:t>
      </w:r>
      <w:r w:rsidR="00156F15" w:rsidRPr="00A927C0">
        <w:t>s o entrevistas exhaustivas, grupos de enfoque y</w:t>
      </w:r>
      <w:r w:rsidRPr="00A927C0">
        <w:t xml:space="preserve"> observación y estudios de caso. </w:t>
      </w:r>
    </w:p>
    <w:p w:rsidR="00F256A4" w:rsidRPr="00A927C0" w:rsidRDefault="007C0C8A" w:rsidP="007C0C8A">
      <w:pPr>
        <w:spacing w:line="360" w:lineRule="auto"/>
        <w:ind w:firstLine="360"/>
      </w:pPr>
      <w:r w:rsidRPr="00A927C0">
        <w:rPr>
          <w:b/>
        </w:rPr>
        <w:lastRenderedPageBreak/>
        <w:t>•••</w:t>
      </w:r>
    </w:p>
    <w:p w:rsidR="00D706D5" w:rsidRPr="00A927C0" w:rsidRDefault="00D706D5" w:rsidP="007C0C8A">
      <w:pPr>
        <w:spacing w:line="360" w:lineRule="auto"/>
      </w:pPr>
      <w:r w:rsidRPr="00A927C0">
        <w:t>En el diseño de la etapa de investigación, ya sea cuantitativa o cualitativa, deben considerar</w:t>
      </w:r>
      <w:r w:rsidR="007F731D" w:rsidRPr="00A927C0">
        <w:t>se</w:t>
      </w:r>
      <w:r w:rsidRPr="00A927C0">
        <w:t xml:space="preserve"> </w:t>
      </w:r>
      <w:r w:rsidR="007F731D" w:rsidRPr="00A927C0">
        <w:t xml:space="preserve">algunos aspectos metodológicos </w:t>
      </w:r>
      <w:r w:rsidRPr="00A927C0">
        <w:t>como</w:t>
      </w:r>
      <w:r w:rsidR="007F731D" w:rsidRPr="00A927C0">
        <w:t xml:space="preserve"> son</w:t>
      </w:r>
      <w:r w:rsidRPr="00A927C0">
        <w:t>:</w:t>
      </w:r>
    </w:p>
    <w:p w:rsidR="00D706D5" w:rsidRPr="00A927C0" w:rsidRDefault="007F731D" w:rsidP="007F731D">
      <w:pPr>
        <w:spacing w:line="360" w:lineRule="auto"/>
      </w:pPr>
      <w:r w:rsidRPr="00A927C0">
        <w:t xml:space="preserve">— </w:t>
      </w:r>
      <w:r w:rsidR="00D706D5" w:rsidRPr="00A927C0">
        <w:t>Definiciones y cuestiones de redacción: es necesario que las definiciones estén consensuadas para tener la seguridad de que encuestados, entrevistadores y analistas están hablando de lo mismo y evitar ambigüedades.</w:t>
      </w:r>
    </w:p>
    <w:p w:rsidR="00D706D5" w:rsidRPr="00A927C0" w:rsidRDefault="007F731D" w:rsidP="007F731D">
      <w:pPr>
        <w:spacing w:line="360" w:lineRule="auto"/>
      </w:pPr>
      <w:r w:rsidRPr="00A927C0">
        <w:t xml:space="preserve">— </w:t>
      </w:r>
      <w:r w:rsidR="00D706D5" w:rsidRPr="00A927C0">
        <w:t xml:space="preserve">Definición de población: es importante definir claramente la población objetivo, ya sea la población de todo el país o un grupo en particular delimitado geográfica o socialmente. </w:t>
      </w:r>
    </w:p>
    <w:p w:rsidR="00D706D5" w:rsidRPr="00A927C0" w:rsidRDefault="007F731D" w:rsidP="007F731D">
      <w:pPr>
        <w:spacing w:line="360" w:lineRule="auto"/>
      </w:pPr>
      <w:r w:rsidRPr="00A927C0">
        <w:t xml:space="preserve">— </w:t>
      </w:r>
      <w:r w:rsidR="00D706D5" w:rsidRPr="00A927C0">
        <w:t>Tiempo y extensión de las encuestas: cuando se tiene que registrar el empleo del tiempo, no solo se muestrean los hogares o individuos, sino también los días o las fechas. El tamaño de la muestra debería ser suficiente para garantizar resultados representativos de todas las variables demográficas y de cálculo, como la edad, el género y el nivel educativo, entre otras.</w:t>
      </w:r>
    </w:p>
    <w:p w:rsidR="00D706D5" w:rsidRPr="00A927C0" w:rsidRDefault="007F731D" w:rsidP="007F731D">
      <w:pPr>
        <w:spacing w:line="360" w:lineRule="auto"/>
      </w:pPr>
      <w:r w:rsidRPr="00A927C0">
        <w:t xml:space="preserve">— </w:t>
      </w:r>
      <w:r w:rsidR="00D706D5" w:rsidRPr="00A927C0">
        <w:t>Muestreo: si se quieren obtener muestras fiables, se debe considerar la mayoría de edad temprana, las actividades estacionales y las distintas estructuras del hogar. Otras propuestas sugieren llegar hasta los niveles de registro individual como la unidad básica de muestreo para las encuestas de participación cultural. No se puede prescindir de las poblaciones institucionales, públicas o privadas, en las encuestas de participación cultural</w:t>
      </w:r>
      <w:r w:rsidR="004701B7" w:rsidRPr="00A927C0">
        <w:t>,</w:t>
      </w:r>
      <w:r w:rsidR="00D706D5" w:rsidRPr="00A927C0">
        <w:t xml:space="preserve"> dado que ciertas actividades culturales, como leer y escuchar música, a menudo tienen un papel muy importante en las actividades de esas instituciones.</w:t>
      </w:r>
    </w:p>
    <w:p w:rsidR="000C60A3" w:rsidRPr="00A927C0" w:rsidRDefault="007F731D" w:rsidP="007F731D">
      <w:pPr>
        <w:spacing w:line="360" w:lineRule="auto"/>
      </w:pPr>
      <w:r w:rsidRPr="00A927C0">
        <w:t xml:space="preserve">— </w:t>
      </w:r>
      <w:r w:rsidR="00D706D5" w:rsidRPr="00A927C0">
        <w:t>Método(s) de recopilación de datos.</w:t>
      </w:r>
    </w:p>
    <w:p w:rsidR="00E03A40" w:rsidRPr="00A927C0" w:rsidRDefault="007F731D" w:rsidP="00981ABA">
      <w:pPr>
        <w:spacing w:line="360" w:lineRule="auto"/>
        <w:ind w:firstLine="708"/>
      </w:pPr>
      <w:r w:rsidRPr="00A927C0">
        <w:t>Estos</w:t>
      </w:r>
      <w:r w:rsidR="00E03A40" w:rsidRPr="00A927C0">
        <w:t xml:space="preserve"> nuevos </w:t>
      </w:r>
      <w:r w:rsidR="005130AC" w:rsidRPr="00A927C0">
        <w:t>métodos</w:t>
      </w:r>
      <w:r w:rsidR="00E03A40" w:rsidRPr="00A927C0">
        <w:t xml:space="preserve"> —</w:t>
      </w:r>
      <w:r w:rsidR="00645EB6" w:rsidRPr="00A927C0">
        <w:t>prácticamente todos todavía exp</w:t>
      </w:r>
      <w:r w:rsidR="00E03A40" w:rsidRPr="00A927C0">
        <w:t>erimentales y sujetos a mejorar—</w:t>
      </w:r>
      <w:r w:rsidR="00A357B6" w:rsidRPr="00A927C0">
        <w:t xml:space="preserve"> </w:t>
      </w:r>
      <w:r w:rsidR="00645EB6" w:rsidRPr="00A927C0">
        <w:t xml:space="preserve">son </w:t>
      </w:r>
      <w:r w:rsidR="00A357B6" w:rsidRPr="00A927C0">
        <w:t xml:space="preserve">claramente </w:t>
      </w:r>
      <w:r w:rsidR="00645EB6" w:rsidRPr="00A927C0">
        <w:t>vigentes en los países</w:t>
      </w:r>
      <w:r w:rsidR="00A357B6" w:rsidRPr="00A927C0">
        <w:t xml:space="preserve"> que conforman la Unión Europea</w:t>
      </w:r>
      <w:r w:rsidR="00F256A4" w:rsidRPr="00A927C0">
        <w:t>,</w:t>
      </w:r>
      <w:r w:rsidR="00A357B6" w:rsidRPr="00A927C0">
        <w:t xml:space="preserve"> y</w:t>
      </w:r>
      <w:r w:rsidR="00645EB6" w:rsidRPr="00A927C0">
        <w:t xml:space="preserve"> algunos otros latinoamericanos</w:t>
      </w:r>
      <w:r w:rsidR="00A357B6" w:rsidRPr="00A927C0">
        <w:t>,</w:t>
      </w:r>
      <w:r w:rsidR="00645EB6" w:rsidRPr="00A927C0">
        <w:t xml:space="preserve"> como los casos de Colombia, Chile o Costa Rica, </w:t>
      </w:r>
      <w:r w:rsidR="00A357B6" w:rsidRPr="00A927C0">
        <w:t xml:space="preserve">ya </w:t>
      </w:r>
      <w:r w:rsidR="004701B7" w:rsidRPr="00A927C0">
        <w:t xml:space="preserve">han sido </w:t>
      </w:r>
      <w:r w:rsidR="00E03A40" w:rsidRPr="00A927C0">
        <w:t>estudiados</w:t>
      </w:r>
      <w:r w:rsidR="00645EB6" w:rsidRPr="00A927C0">
        <w:t xml:space="preserve"> y </w:t>
      </w:r>
      <w:r w:rsidR="00A357B6" w:rsidRPr="00A927C0">
        <w:t xml:space="preserve">pudiesen </w:t>
      </w:r>
      <w:r w:rsidR="00645EB6" w:rsidRPr="00A927C0">
        <w:t>ser propuestos para el caso de la Ciudad de México</w:t>
      </w:r>
      <w:r w:rsidR="00E03A40" w:rsidRPr="00A927C0">
        <w:t xml:space="preserve">, </w:t>
      </w:r>
      <w:r w:rsidR="00E03A40" w:rsidRPr="00A927C0">
        <w:lastRenderedPageBreak/>
        <w:t xml:space="preserve">con las previsiones necesarias </w:t>
      </w:r>
      <w:r w:rsidR="00A357B6" w:rsidRPr="00A927C0">
        <w:t>respecto</w:t>
      </w:r>
      <w:r w:rsidR="00E03A40" w:rsidRPr="00A927C0">
        <w:t xml:space="preserve"> </w:t>
      </w:r>
      <w:r w:rsidR="00A357B6" w:rsidRPr="00A927C0">
        <w:t xml:space="preserve">al </w:t>
      </w:r>
      <w:r w:rsidR="00E60240" w:rsidRPr="00A927C0">
        <w:t>ingreso</w:t>
      </w:r>
      <w:r w:rsidR="00E03A40" w:rsidRPr="00A927C0">
        <w:t xml:space="preserve"> a las fuentes de</w:t>
      </w:r>
      <w:r w:rsidR="00A357B6" w:rsidRPr="00A927C0">
        <w:t xml:space="preserve"> información y su accesibilidad</w:t>
      </w:r>
      <w:r w:rsidR="00E03A40" w:rsidRPr="00A927C0">
        <w:t xml:space="preserve">. </w:t>
      </w:r>
    </w:p>
    <w:p w:rsidR="005130AC" w:rsidRPr="00795953" w:rsidRDefault="00E03A40" w:rsidP="00981ABA">
      <w:pPr>
        <w:spacing w:line="360" w:lineRule="auto"/>
        <w:ind w:firstLine="708"/>
      </w:pPr>
      <w:r w:rsidRPr="002C17E1">
        <w:rPr>
          <w:highlight w:val="yellow"/>
        </w:rPr>
        <w:t>Por ejemplo, el caso colombiano tiene una alta relevancia porque ha logrado decantar una metodología</w:t>
      </w:r>
      <w:r w:rsidR="00E60240" w:rsidRPr="002C17E1">
        <w:rPr>
          <w:highlight w:val="yellow"/>
        </w:rPr>
        <w:t xml:space="preserve"> muy promisoria por la aproximación a las medidas de impacto que las manifestaciones culturales tienen: los festivales, las fiestas y los encuentros son espacios culturales de participación, </w:t>
      </w:r>
      <w:r w:rsidR="003022C4" w:rsidRPr="002C17E1">
        <w:rPr>
          <w:highlight w:val="yellow"/>
        </w:rPr>
        <w:t>reunión</w:t>
      </w:r>
      <w:r w:rsidR="00E60240" w:rsidRPr="002C17E1">
        <w:rPr>
          <w:highlight w:val="yellow"/>
        </w:rPr>
        <w:t xml:space="preserve">, inclusión social, consolidación de identidad colectiva, construcción de significados simbólicos, de sentido y pertenencia, de fortalecimiento comunitario. Todo ello, el patrimonio cultural inmaterial </w:t>
      </w:r>
      <w:r w:rsidR="005130AC" w:rsidRPr="002C17E1">
        <w:rPr>
          <w:highlight w:val="yellow"/>
        </w:rPr>
        <w:t xml:space="preserve">defendible </w:t>
      </w:r>
      <w:r w:rsidR="00E60240" w:rsidRPr="002C17E1">
        <w:rPr>
          <w:highlight w:val="yellow"/>
        </w:rPr>
        <w:t>de una sociedad</w:t>
      </w:r>
      <w:r w:rsidR="004852A3" w:rsidRPr="002C17E1">
        <w:rPr>
          <w:highlight w:val="yellow"/>
        </w:rPr>
        <w:t xml:space="preserve">, </w:t>
      </w:r>
      <w:r w:rsidR="00E60240" w:rsidRPr="002C17E1">
        <w:rPr>
          <w:highlight w:val="yellow"/>
        </w:rPr>
        <w:t xml:space="preserve">debe ser considerado </w:t>
      </w:r>
      <w:r w:rsidR="00720F67" w:rsidRPr="002C17E1">
        <w:rPr>
          <w:highlight w:val="yellow"/>
        </w:rPr>
        <w:t xml:space="preserve">mediante su difusión, reconocimiento y transmisión. Puede verse también como la dimensión simbólica en la que </w:t>
      </w:r>
      <w:r w:rsidR="004852A3" w:rsidRPr="002C17E1">
        <w:rPr>
          <w:highlight w:val="yellow"/>
        </w:rPr>
        <w:t xml:space="preserve">la </w:t>
      </w:r>
      <w:r w:rsidR="00720F67" w:rsidRPr="002C17E1">
        <w:rPr>
          <w:highlight w:val="yellow"/>
        </w:rPr>
        <w:t>misma sociedad se representa, se mantiene y ordena para dar sentido a sus continuidades.</w:t>
      </w:r>
      <w:r w:rsidR="00720F67" w:rsidRPr="00795953">
        <w:t xml:space="preserve"> </w:t>
      </w:r>
    </w:p>
    <w:p w:rsidR="00CF6D52" w:rsidRPr="00795953" w:rsidRDefault="005130AC" w:rsidP="00981ABA">
      <w:pPr>
        <w:spacing w:line="360" w:lineRule="auto"/>
        <w:ind w:firstLine="708"/>
      </w:pPr>
      <w:r w:rsidRPr="00795953">
        <w:t xml:space="preserve">Hace </w:t>
      </w:r>
      <w:r w:rsidR="00F256A4" w:rsidRPr="00795953">
        <w:t>apenas pocos</w:t>
      </w:r>
      <w:r w:rsidRPr="00795953">
        <w:t xml:space="preserve"> años</w:t>
      </w:r>
      <w:r w:rsidR="00F256A4" w:rsidRPr="00795953">
        <w:t>,</w:t>
      </w:r>
      <w:r w:rsidRPr="00795953">
        <w:t xml:space="preserve"> las perspectivas metodológicas partieron de las oportunidades que la etnografía ofrece desde sus perspectivas</w:t>
      </w:r>
      <w:r w:rsidR="00375F59" w:rsidRPr="00795953">
        <w:t xml:space="preserve"> de observación y participación. Varios investigadores</w:t>
      </w:r>
      <w:r w:rsidR="004E2D9C" w:rsidRPr="00795953">
        <w:t>, después de visitar</w:t>
      </w:r>
      <w:r w:rsidR="00375F59" w:rsidRPr="00795953">
        <w:t xml:space="preserve"> seis festivales</w:t>
      </w:r>
      <w:r w:rsidR="004E2D9C" w:rsidRPr="00795953">
        <w:t>,</w:t>
      </w:r>
      <w:r w:rsidR="00375F59" w:rsidRPr="00795953">
        <w:t xml:space="preserve"> llegaron con un conjunto de instrumentos de investigación, como encuestas dirigidas </w:t>
      </w:r>
      <w:r w:rsidR="004852A3" w:rsidRPr="00795953">
        <w:t xml:space="preserve">con </w:t>
      </w:r>
      <w:r w:rsidR="00375F59" w:rsidRPr="00795953">
        <w:t xml:space="preserve">diversos </w:t>
      </w:r>
      <w:r w:rsidR="004852A3" w:rsidRPr="00795953">
        <w:t xml:space="preserve">niveles </w:t>
      </w:r>
      <w:r w:rsidR="00375F59" w:rsidRPr="00795953">
        <w:t>de participación, organizadores, actores y público asistente</w:t>
      </w:r>
      <w:r w:rsidR="004852A3" w:rsidRPr="00795953">
        <w:t>,</w:t>
      </w:r>
      <w:r w:rsidR="00375F59" w:rsidRPr="00795953">
        <w:t xml:space="preserve"> así como </w:t>
      </w:r>
      <w:r w:rsidR="004E2D9C" w:rsidRPr="00795953">
        <w:t xml:space="preserve">con </w:t>
      </w:r>
      <w:r w:rsidR="00375F59" w:rsidRPr="00795953">
        <w:t xml:space="preserve">guías de observación de campo que aportaron la información para las categorías de análisis previstas. </w:t>
      </w:r>
    </w:p>
    <w:p w:rsidR="00EE714E" w:rsidRPr="00795953" w:rsidRDefault="00CF6D52" w:rsidP="00981ABA">
      <w:pPr>
        <w:spacing w:line="360" w:lineRule="auto"/>
        <w:ind w:firstLine="708"/>
      </w:pPr>
      <w:r w:rsidRPr="00795953">
        <w:t>Respecto al público, se busc</w:t>
      </w:r>
      <w:r w:rsidR="004852A3" w:rsidRPr="00795953">
        <w:t>ó</w:t>
      </w:r>
      <w:r w:rsidRPr="00795953">
        <w:t xml:space="preserve"> hacer un reconocimiento más a fondo. </w:t>
      </w:r>
      <w:r w:rsidR="004E2D9C" w:rsidRPr="00795953">
        <w:t>Para lograrlo</w:t>
      </w:r>
      <w:r w:rsidRPr="00795953">
        <w:t xml:space="preserve">, </w:t>
      </w:r>
      <w:r w:rsidR="004852A3" w:rsidRPr="00795953">
        <w:t xml:space="preserve">se recopilaron </w:t>
      </w:r>
      <w:r w:rsidRPr="00795953">
        <w:t xml:space="preserve">datos como los de su pertenencia al grupo poblacional, los motivos </w:t>
      </w:r>
      <w:r w:rsidR="004E2D9C" w:rsidRPr="00795953">
        <w:t xml:space="preserve">que tuvieron </w:t>
      </w:r>
      <w:r w:rsidRPr="00795953">
        <w:t xml:space="preserve">para asistir, </w:t>
      </w:r>
      <w:r w:rsidR="004852A3" w:rsidRPr="00795953">
        <w:t>su</w:t>
      </w:r>
      <w:r w:rsidRPr="00795953">
        <w:t xml:space="preserve"> nivel de escolaridad</w:t>
      </w:r>
      <w:r w:rsidR="004E2D9C" w:rsidRPr="00795953">
        <w:t xml:space="preserve"> y </w:t>
      </w:r>
      <w:r w:rsidRPr="00795953">
        <w:t xml:space="preserve">económico, etc. Muchas de las respuestas llevaron entonces al reconocimiento de los grados de integración que los festivales provocaban, de la reafirmación de identidad y construcción colectiva. De los actores se consiguió definir el tipo de expresión que realizaban, </w:t>
      </w:r>
      <w:r w:rsidR="00D71502" w:rsidRPr="00795953">
        <w:t xml:space="preserve">de su formación tradicional o no, su grado de profesionalismo, los motivos de su participación y demás. </w:t>
      </w:r>
      <w:r w:rsidR="00EE714E" w:rsidRPr="00795953">
        <w:rPr>
          <w:b/>
        </w:rPr>
        <w:t>De los organizadores se obtuvo información relativa a la sostenibilidad del evento</w:t>
      </w:r>
      <w:r w:rsidR="004E2D9C" w:rsidRPr="00795953">
        <w:rPr>
          <w:b/>
        </w:rPr>
        <w:t>;</w:t>
      </w:r>
      <w:r w:rsidR="00EE714E" w:rsidRPr="00795953">
        <w:rPr>
          <w:b/>
        </w:rPr>
        <w:t xml:space="preserve"> su aporte a la continuidad del patrimonio inmaterial de la comunidad</w:t>
      </w:r>
      <w:r w:rsidR="004E2D9C" w:rsidRPr="00795953">
        <w:rPr>
          <w:b/>
        </w:rPr>
        <w:t>;</w:t>
      </w:r>
      <w:r w:rsidR="00EE714E" w:rsidRPr="00795953">
        <w:rPr>
          <w:b/>
        </w:rPr>
        <w:t xml:space="preserve"> los vínculos del festival con los programas de las políticas públicas locales o </w:t>
      </w:r>
      <w:r w:rsidR="00EE714E" w:rsidRPr="00795953">
        <w:rPr>
          <w:b/>
        </w:rPr>
        <w:lastRenderedPageBreak/>
        <w:t>nacionales</w:t>
      </w:r>
      <w:r w:rsidR="004E2D9C" w:rsidRPr="00795953">
        <w:rPr>
          <w:b/>
        </w:rPr>
        <w:t>;</w:t>
      </w:r>
      <w:r w:rsidR="00EE714E" w:rsidRPr="00795953">
        <w:rPr>
          <w:b/>
        </w:rPr>
        <w:t xml:space="preserve"> </w:t>
      </w:r>
      <w:r w:rsidR="004E2D9C" w:rsidRPr="00795953">
        <w:rPr>
          <w:b/>
        </w:rPr>
        <w:t xml:space="preserve">y </w:t>
      </w:r>
      <w:r w:rsidR="00EE714E" w:rsidRPr="00795953">
        <w:rPr>
          <w:b/>
        </w:rPr>
        <w:t>el grado de participación de la comunidad, tanto en la organización como en las decisiones para el caso.</w:t>
      </w:r>
      <w:r w:rsidR="00EE714E" w:rsidRPr="00795953">
        <w:t xml:space="preserve"> </w:t>
      </w:r>
    </w:p>
    <w:p w:rsidR="003A027E" w:rsidRPr="00795953" w:rsidRDefault="005641A0" w:rsidP="00981ABA">
      <w:pPr>
        <w:spacing w:line="360" w:lineRule="auto"/>
        <w:ind w:firstLine="708"/>
      </w:pPr>
      <w:r w:rsidRPr="00795953">
        <w:t>Al final, la información fue procesada dentro de los parámetros etnográficos establecidos para la guía de campo que debió reunir tres momentos: a partir de la evaluación de estudios anteriores, reconocer los vacíos que con el presente ejercicio se pudieron superar</w:t>
      </w:r>
      <w:r w:rsidR="00FB0AEA" w:rsidRPr="00795953">
        <w:t>;</w:t>
      </w:r>
      <w:r w:rsidRPr="00795953">
        <w:t xml:space="preserve"> </w:t>
      </w:r>
      <w:r w:rsidR="00A73A8E" w:rsidRPr="00795953">
        <w:t>e</w:t>
      </w:r>
      <w:r w:rsidR="00FB0AEA" w:rsidRPr="00795953">
        <w:t>,</w:t>
      </w:r>
      <w:r w:rsidR="00A73A8E" w:rsidRPr="00795953">
        <w:t xml:space="preserve"> </w:t>
      </w:r>
      <w:r w:rsidRPr="00795953">
        <w:t xml:space="preserve">igualmente, repasar la política del Programa Nacional de Concertación, </w:t>
      </w:r>
      <w:r w:rsidR="00A73A8E" w:rsidRPr="00795953">
        <w:t>de Patrimonio Cultural Inmaterial y de Emprendimiento Cultural</w:t>
      </w:r>
      <w:r w:rsidR="004E2D9C" w:rsidRPr="00795953">
        <w:t>,</w:t>
      </w:r>
      <w:r w:rsidR="00AD3915" w:rsidRPr="00795953">
        <w:t xml:space="preserve"> para saber hasta dónde se acercaban los elementos más relevantes de los festivales analizados y los objetivos de las políticas oficiales. En términos muy generales</w:t>
      </w:r>
      <w:r w:rsidR="00381973" w:rsidRPr="00795953">
        <w:t>,</w:t>
      </w:r>
      <w:r w:rsidR="00AD3915" w:rsidRPr="00795953">
        <w:t xml:space="preserve"> est</w:t>
      </w:r>
      <w:r w:rsidR="00BE3E30" w:rsidRPr="00795953">
        <w:t>a</w:t>
      </w:r>
      <w:r w:rsidR="00AD3915" w:rsidRPr="00795953">
        <w:t xml:space="preserve"> es </w:t>
      </w:r>
      <w:r w:rsidR="00381973" w:rsidRPr="00795953">
        <w:t>la</w:t>
      </w:r>
      <w:r w:rsidR="00AD3915" w:rsidRPr="00795953">
        <w:t xml:space="preserve"> descripción</w:t>
      </w:r>
      <w:r w:rsidR="00381973" w:rsidRPr="00795953">
        <w:t xml:space="preserve"> de</w:t>
      </w:r>
      <w:r w:rsidR="00AD3915" w:rsidRPr="00795953">
        <w:t xml:space="preserve"> uno de los modelos </w:t>
      </w:r>
      <w:r w:rsidR="00381973" w:rsidRPr="00795953">
        <w:t xml:space="preserve">que han requerido del uso </w:t>
      </w:r>
      <w:r w:rsidR="00D91BAF" w:rsidRPr="00795953">
        <w:t xml:space="preserve">de </w:t>
      </w:r>
      <w:r w:rsidR="00381973" w:rsidRPr="00795953">
        <w:t>indicadores de cultura.</w:t>
      </w:r>
      <w:r w:rsidR="00E715C6" w:rsidRPr="00795953">
        <w:t xml:space="preserve"> </w:t>
      </w:r>
      <w:r w:rsidR="00C1378D" w:rsidRPr="00795953">
        <w:t>Una de las conclusiones de este tipo de ejercicios es la de que, en la caracterización del valor cultural y social de estos eventos comunitarios</w:t>
      </w:r>
      <w:r w:rsidR="00F46239" w:rsidRPr="00795953">
        <w:t>, los criterios aplicables consideren esencialmente la descripción de lo simbólico y patrimonial</w:t>
      </w:r>
      <w:r w:rsidR="00FE1093" w:rsidRPr="00795953">
        <w:t>,</w:t>
      </w:r>
      <w:r w:rsidR="00F46239" w:rsidRPr="00795953">
        <w:t xml:space="preserve"> “…que reconozcan en el componente socioeconómico, a los agentes involucrados (público y artistas), mediante el acercamiento</w:t>
      </w:r>
      <w:r w:rsidR="00FE1093" w:rsidRPr="00795953">
        <w:t xml:space="preserve"> a la apropiación de los eventos como manifestaciones culturales por parte de la comunidad</w:t>
      </w:r>
      <w:r w:rsidR="00BE3E30" w:rsidRPr="00795953">
        <w:t>,</w:t>
      </w:r>
      <w:r w:rsidR="00FE1093" w:rsidRPr="00795953">
        <w:t xml:space="preserve"> que son el resultado de la participación social en los festivales, además del análisis en el uso de los espacios y relación con el entorno y la descripción de estrategias de difusión en los festivales…”</w:t>
      </w:r>
      <w:r w:rsidR="00572BE0" w:rsidRPr="00795953">
        <w:t xml:space="preserve"> (González, E.,</w:t>
      </w:r>
      <w:r w:rsidR="00363D20" w:rsidRPr="00795953">
        <w:t xml:space="preserve"> </w:t>
      </w:r>
      <w:r w:rsidR="00572BE0" w:rsidRPr="00795953">
        <w:rPr>
          <w:i/>
        </w:rPr>
        <w:t>et al</w:t>
      </w:r>
      <w:r w:rsidR="00572BE0" w:rsidRPr="00795953">
        <w:t>. 2013</w:t>
      </w:r>
      <w:r w:rsidR="00300BF6" w:rsidRPr="00795953">
        <w:t>.</w:t>
      </w:r>
      <w:r w:rsidR="00572BE0" w:rsidRPr="00795953">
        <w:t xml:space="preserve"> </w:t>
      </w:r>
      <w:r w:rsidR="00572BE0" w:rsidRPr="00795953">
        <w:rPr>
          <w:i/>
        </w:rPr>
        <w:t>Medición y caracterización del impacto económico y el valor social y cultural de festivales en Colombia</w:t>
      </w:r>
      <w:r w:rsidR="00572BE0" w:rsidRPr="00795953">
        <w:t>,</w:t>
      </w:r>
      <w:r w:rsidR="00363D20" w:rsidRPr="00795953">
        <w:t xml:space="preserve"> </w:t>
      </w:r>
      <w:r w:rsidR="00572BE0" w:rsidRPr="00795953">
        <w:t>p.109).</w:t>
      </w:r>
    </w:p>
    <w:p w:rsidR="00381973" w:rsidRPr="00795953" w:rsidRDefault="003A027E" w:rsidP="00981ABA">
      <w:pPr>
        <w:spacing w:line="360" w:lineRule="auto"/>
        <w:ind w:firstLine="708"/>
      </w:pPr>
      <w:r w:rsidRPr="00795953">
        <w:t>Con la aplicación de este tipo de metodología</w:t>
      </w:r>
      <w:r w:rsidR="00930A82" w:rsidRPr="00795953">
        <w:t xml:space="preserve"> y los indicadores utilizados</w:t>
      </w:r>
      <w:r w:rsidRPr="00795953">
        <w:t xml:space="preserve">, </w:t>
      </w:r>
      <w:r w:rsidRPr="00795953">
        <w:rPr>
          <w:b/>
        </w:rPr>
        <w:t>se logra dar, finalmente, con las características del impacto económico</w:t>
      </w:r>
      <w:r w:rsidR="00BE3E30" w:rsidRPr="00795953">
        <w:rPr>
          <w:b/>
        </w:rPr>
        <w:t>,</w:t>
      </w:r>
      <w:r w:rsidRPr="00795953">
        <w:rPr>
          <w:b/>
        </w:rPr>
        <w:t xml:space="preserve"> pues, tanto el gasto como el empleo directo propiciados por los gestores, al igual que el gasto indirecto hecho por los asistentes, </w:t>
      </w:r>
      <w:r w:rsidR="00930A82" w:rsidRPr="00795953">
        <w:rPr>
          <w:b/>
        </w:rPr>
        <w:t>junto con</w:t>
      </w:r>
      <w:r w:rsidRPr="00795953">
        <w:rPr>
          <w:b/>
        </w:rPr>
        <w:t xml:space="preserve"> el incremento de la actividad económica de los agentes económ</w:t>
      </w:r>
      <w:r w:rsidR="00930A82" w:rsidRPr="00795953">
        <w:rPr>
          <w:b/>
        </w:rPr>
        <w:t>icos durante el evento festivo, se hacen medibles. De</w:t>
      </w:r>
      <w:r w:rsidR="00B52080" w:rsidRPr="00795953">
        <w:rPr>
          <w:b/>
        </w:rPr>
        <w:t xml:space="preserve"> esta forma</w:t>
      </w:r>
      <w:r w:rsidR="00930A82" w:rsidRPr="00795953">
        <w:rPr>
          <w:b/>
        </w:rPr>
        <w:t xml:space="preserve"> </w:t>
      </w:r>
      <w:r w:rsidR="00BE3E30" w:rsidRPr="00795953">
        <w:rPr>
          <w:b/>
        </w:rPr>
        <w:t xml:space="preserve">se han podido establecer </w:t>
      </w:r>
      <w:r w:rsidR="00930A82" w:rsidRPr="00795953">
        <w:rPr>
          <w:b/>
        </w:rPr>
        <w:t>las dimensiones económicas de los festivales, o celebraciones comunitarias.</w:t>
      </w:r>
      <w:r w:rsidR="00930A82" w:rsidRPr="00795953">
        <w:t xml:space="preserve"> </w:t>
      </w:r>
    </w:p>
    <w:p w:rsidR="007C0C8A" w:rsidRPr="00795953" w:rsidRDefault="007C0C8A" w:rsidP="0013749E">
      <w:pPr>
        <w:spacing w:line="360" w:lineRule="auto"/>
        <w:rPr>
          <w:b/>
        </w:rPr>
      </w:pPr>
      <w:r w:rsidRPr="00795953">
        <w:rPr>
          <w:b/>
        </w:rPr>
        <w:t>•••</w:t>
      </w:r>
    </w:p>
    <w:p w:rsidR="006E0C05" w:rsidRPr="00795953" w:rsidRDefault="005511F4" w:rsidP="00795953">
      <w:pPr>
        <w:spacing w:line="360" w:lineRule="auto"/>
        <w:rPr>
          <w:b/>
        </w:rPr>
      </w:pPr>
      <w:r w:rsidRPr="00795953">
        <w:lastRenderedPageBreak/>
        <w:t>L</w:t>
      </w:r>
      <w:r w:rsidR="0013749E" w:rsidRPr="00795953">
        <w:t xml:space="preserve">a multiplicidad de accesos a indicadores </w:t>
      </w:r>
      <w:r w:rsidR="0053639E" w:rsidRPr="00795953">
        <w:t xml:space="preserve">culturales </w:t>
      </w:r>
      <w:r w:rsidR="0013749E" w:rsidRPr="00795953">
        <w:t xml:space="preserve">que permiten la medición de los eventos colectivos, como son los festivales, los encuentros o las ferias,  </w:t>
      </w:r>
      <w:r w:rsidR="006E0C05" w:rsidRPr="00795953">
        <w:t>son ahora parte integr</w:t>
      </w:r>
      <w:r w:rsidR="0053639E" w:rsidRPr="00795953">
        <w:t xml:space="preserve">al de las condiciones para la aplicación de políticas </w:t>
      </w:r>
      <w:r w:rsidRPr="00795953">
        <w:t>culturales</w:t>
      </w:r>
      <w:r w:rsidR="0053639E" w:rsidRPr="00795953">
        <w:t>.</w:t>
      </w:r>
      <w:r w:rsidR="006E0C05" w:rsidRPr="00795953">
        <w:t xml:space="preserve"> </w:t>
      </w:r>
      <w:r w:rsidR="0053639E" w:rsidRPr="00795953">
        <w:t xml:space="preserve"> </w:t>
      </w:r>
      <w:r w:rsidRPr="00795953">
        <w:t xml:space="preserve">Pero no pretendamos por ello </w:t>
      </w:r>
      <w:r w:rsidR="0013749E" w:rsidRPr="00795953">
        <w:t xml:space="preserve">lograr </w:t>
      </w:r>
      <w:r w:rsidR="00DC261D" w:rsidRPr="00795953">
        <w:t xml:space="preserve">del todo </w:t>
      </w:r>
      <w:r w:rsidR="0013749E" w:rsidRPr="00795953">
        <w:t>un desempeño como el que vemos aplicado por sistemas similares en el registro de los fenómenos culturales en otros países, especialmente como aquellos referidos</w:t>
      </w:r>
      <w:r w:rsidR="00DC261D" w:rsidRPr="00795953">
        <w:t>,</w:t>
      </w:r>
      <w:r w:rsidR="0013749E" w:rsidRPr="00795953">
        <w:t xml:space="preserve"> o los todavía más sofisticados y precisos con los que cuentan los países de la Unión Europea. </w:t>
      </w:r>
    </w:p>
    <w:p w:rsidR="0013749E" w:rsidRPr="00795953" w:rsidRDefault="00DC261D" w:rsidP="007C0C8A">
      <w:pPr>
        <w:spacing w:line="360" w:lineRule="auto"/>
        <w:ind w:firstLine="708"/>
      </w:pPr>
      <w:r w:rsidRPr="00795953">
        <w:t xml:space="preserve">Esto no representa </w:t>
      </w:r>
      <w:r w:rsidR="006E0C05" w:rsidRPr="00795953">
        <w:t xml:space="preserve">en </w:t>
      </w:r>
      <w:r w:rsidRPr="00795953">
        <w:t xml:space="preserve">nuestro caso </w:t>
      </w:r>
      <w:r w:rsidR="00DE2470" w:rsidRPr="00795953">
        <w:t xml:space="preserve">hoy </w:t>
      </w:r>
      <w:r w:rsidRPr="00795953">
        <w:t xml:space="preserve">una desventaja, es </w:t>
      </w:r>
      <w:r w:rsidR="00DE2470" w:rsidRPr="00795953">
        <w:t>inherente a</w:t>
      </w:r>
      <w:r w:rsidRPr="00795953">
        <w:t xml:space="preserve"> la complejidad </w:t>
      </w:r>
      <w:r w:rsidR="00DE2470" w:rsidRPr="00795953">
        <w:t>asumida</w:t>
      </w:r>
      <w:r w:rsidR="006E0C05" w:rsidRPr="00795953">
        <w:t xml:space="preserve"> para </w:t>
      </w:r>
      <w:r w:rsidR="00DE2470" w:rsidRPr="00795953">
        <w:t>optimizar</w:t>
      </w:r>
      <w:r w:rsidRPr="00795953">
        <w:t xml:space="preserve"> </w:t>
      </w:r>
      <w:r w:rsidR="006E0C05" w:rsidRPr="00795953">
        <w:t>y tener sistemas de medidas igualmente sofisticados</w:t>
      </w:r>
      <w:r w:rsidR="005511F4" w:rsidRPr="00795953">
        <w:t xml:space="preserve">, tal y como </w:t>
      </w:r>
      <w:r w:rsidR="00DE2470" w:rsidRPr="00795953">
        <w:t>se</w:t>
      </w:r>
      <w:r w:rsidR="005511F4" w:rsidRPr="00795953">
        <w:t xml:space="preserve"> han tenido que considerar en </w:t>
      </w:r>
      <w:r w:rsidR="00DE2470" w:rsidRPr="00795953">
        <w:t>los</w:t>
      </w:r>
      <w:r w:rsidR="005511F4" w:rsidRPr="00795953">
        <w:t xml:space="preserve"> casos</w:t>
      </w:r>
      <w:r w:rsidR="00DE2470" w:rsidRPr="00795953">
        <w:t xml:space="preserve"> referidos. </w:t>
      </w:r>
      <w:r w:rsidR="005511F4" w:rsidRPr="00795953">
        <w:t>Independie</w:t>
      </w:r>
      <w:r w:rsidR="00C41D02" w:rsidRPr="00795953">
        <w:t>nte</w:t>
      </w:r>
      <w:r w:rsidR="005511F4" w:rsidRPr="00795953">
        <w:t xml:space="preserve"> a</w:t>
      </w:r>
      <w:r w:rsidR="006E0C05" w:rsidRPr="00795953">
        <w:t xml:space="preserve"> </w:t>
      </w:r>
      <w:r w:rsidR="005511F4" w:rsidRPr="00795953">
        <w:t xml:space="preserve">los avances que reconocemos en </w:t>
      </w:r>
      <w:r w:rsidR="006E0C05" w:rsidRPr="00795953">
        <w:t xml:space="preserve">los países europeos, </w:t>
      </w:r>
      <w:r w:rsidR="00C41D02" w:rsidRPr="00795953">
        <w:t xml:space="preserve">también </w:t>
      </w:r>
      <w:r w:rsidR="0013749E" w:rsidRPr="00795953">
        <w:t xml:space="preserve">observamos que </w:t>
      </w:r>
      <w:r w:rsidR="005511F4" w:rsidRPr="00795953">
        <w:t>no hay</w:t>
      </w:r>
      <w:r w:rsidR="0013749E" w:rsidRPr="00795953">
        <w:t xml:space="preserve"> condiciones</w:t>
      </w:r>
      <w:r w:rsidR="005511F4" w:rsidRPr="00795953">
        <w:t xml:space="preserve"> o situaciones</w:t>
      </w:r>
      <w:r w:rsidR="0013749E" w:rsidRPr="00795953">
        <w:t xml:space="preserve"> </w:t>
      </w:r>
      <w:r w:rsidR="005511F4" w:rsidRPr="00795953">
        <w:t xml:space="preserve">plenamente </w:t>
      </w:r>
      <w:r w:rsidR="0013749E" w:rsidRPr="00795953">
        <w:t>estandarizadas</w:t>
      </w:r>
      <w:r w:rsidR="005511F4" w:rsidRPr="00795953">
        <w:t>.</w:t>
      </w:r>
      <w:r w:rsidR="0013749E" w:rsidRPr="00795953">
        <w:t xml:space="preserve"> </w:t>
      </w:r>
      <w:r w:rsidR="00DE2470" w:rsidRPr="00795953">
        <w:t xml:space="preserve">Historias </w:t>
      </w:r>
      <w:r w:rsidR="00C41D02" w:rsidRPr="00795953">
        <w:t xml:space="preserve">diversas </w:t>
      </w:r>
      <w:r w:rsidR="00DE2470" w:rsidRPr="00795953">
        <w:t>de</w:t>
      </w:r>
      <w:r w:rsidR="0013749E" w:rsidRPr="00795953">
        <w:t xml:space="preserve"> la calidad y cantidad de las fuentes existentes</w:t>
      </w:r>
      <w:r w:rsidR="00DE2470" w:rsidRPr="00795953">
        <w:t xml:space="preserve"> en estos países</w:t>
      </w:r>
      <w:r w:rsidR="005511F4" w:rsidRPr="00795953">
        <w:t xml:space="preserve">, caso por caso, multiplican </w:t>
      </w:r>
      <w:r w:rsidR="00DE2470" w:rsidRPr="00795953">
        <w:t xml:space="preserve">las versiones posibles y </w:t>
      </w:r>
      <w:r w:rsidR="00C41D02" w:rsidRPr="00795953">
        <w:t xml:space="preserve">de manera simultánea </w:t>
      </w:r>
      <w:r w:rsidR="00DE2470" w:rsidRPr="00795953">
        <w:t xml:space="preserve">eficientes </w:t>
      </w:r>
      <w:r w:rsidR="00C56A6E" w:rsidRPr="00795953">
        <w:t xml:space="preserve">de modelos y métodos </w:t>
      </w:r>
      <w:r w:rsidR="00DE2470" w:rsidRPr="00795953">
        <w:t xml:space="preserve">como para </w:t>
      </w:r>
      <w:r w:rsidR="00C56A6E" w:rsidRPr="00795953">
        <w:t xml:space="preserve">impedir </w:t>
      </w:r>
      <w:r w:rsidR="00DE2470" w:rsidRPr="00795953">
        <w:t>que sean elaborados planes o programas que exaltan la vida cultural en dimensiones internacionales</w:t>
      </w:r>
      <w:r w:rsidR="0013749E" w:rsidRPr="00795953">
        <w:t xml:space="preserve">. </w:t>
      </w:r>
    </w:p>
    <w:p w:rsidR="0013749E" w:rsidRPr="00795953" w:rsidRDefault="00C41D02" w:rsidP="00795953">
      <w:pPr>
        <w:spacing w:line="360" w:lineRule="auto"/>
        <w:ind w:firstLine="708"/>
      </w:pPr>
      <w:r w:rsidRPr="00795953">
        <w:t>P</w:t>
      </w:r>
      <w:r w:rsidR="0013749E" w:rsidRPr="00795953">
        <w:t>ara los espacios reunidos en la totalidad de la Ciudad de México,</w:t>
      </w:r>
      <w:r w:rsidR="00190D9A" w:rsidRPr="00795953">
        <w:t xml:space="preserve"> por ejemplo,</w:t>
      </w:r>
      <w:r w:rsidR="0013749E" w:rsidRPr="00795953">
        <w:t xml:space="preserve"> tanto los accesos a, como la calidad de las fuentes de donde podemos extraer la información </w:t>
      </w:r>
      <w:r w:rsidR="00190D9A" w:rsidRPr="00795953">
        <w:t>que contiene</w:t>
      </w:r>
      <w:r w:rsidR="0013749E" w:rsidRPr="00795953">
        <w:t xml:space="preserve"> indicadores utilizables, requiere de estrategias </w:t>
      </w:r>
      <w:r w:rsidR="00DE2470" w:rsidRPr="00795953">
        <w:t>específicas</w:t>
      </w:r>
      <w:r w:rsidR="0013749E" w:rsidRPr="00795953">
        <w:t xml:space="preserve"> para alcanzarlos. </w:t>
      </w:r>
      <w:r w:rsidR="00190D9A" w:rsidRPr="00795953">
        <w:t>Contrastándonos con</w:t>
      </w:r>
      <w:r w:rsidR="0013749E" w:rsidRPr="00795953">
        <w:t xml:space="preserve"> el caso del Reino Unido, </w:t>
      </w:r>
      <w:r w:rsidR="00190D9A" w:rsidRPr="00795953">
        <w:t>tenemos</w:t>
      </w:r>
      <w:r w:rsidR="0013749E" w:rsidRPr="00795953">
        <w:t xml:space="preserve"> que recurrir, </w:t>
      </w:r>
      <w:r w:rsidR="00190D9A" w:rsidRPr="00795953">
        <w:t xml:space="preserve">para precisar el acceso a los indicadores necesarios, </w:t>
      </w:r>
      <w:r w:rsidR="0013749E" w:rsidRPr="00795953">
        <w:t>a hacer un mayor uso de datos estadísticos</w:t>
      </w:r>
      <w:r w:rsidR="00397367" w:rsidRPr="00795953">
        <w:t xml:space="preserve"> no tan accesibles y ordenados</w:t>
      </w:r>
      <w:r w:rsidR="0013749E" w:rsidRPr="00795953">
        <w:t xml:space="preserve">. </w:t>
      </w:r>
      <w:r w:rsidR="00190D9A" w:rsidRPr="00795953">
        <w:t>C</w:t>
      </w:r>
      <w:r w:rsidR="0013749E" w:rsidRPr="00795953">
        <w:t xml:space="preserve">ontamos </w:t>
      </w:r>
      <w:r w:rsidR="009D7337" w:rsidRPr="00795953">
        <w:t xml:space="preserve">también, pero en menores cantidades desde una perspectiva histórica, </w:t>
      </w:r>
      <w:r w:rsidR="0013749E" w:rsidRPr="00795953">
        <w:t xml:space="preserve">con encuestas </w:t>
      </w:r>
      <w:r w:rsidR="009D7337" w:rsidRPr="00795953">
        <w:t xml:space="preserve">de cultura, que expresan esencialmente </w:t>
      </w:r>
      <w:r w:rsidR="009D7337" w:rsidRPr="00795953">
        <w:rPr>
          <w:i/>
        </w:rPr>
        <w:t>percepciones</w:t>
      </w:r>
      <w:r w:rsidR="009D7337" w:rsidRPr="00795953">
        <w:t xml:space="preserve"> y</w:t>
      </w:r>
      <w:r w:rsidR="007C0C8A" w:rsidRPr="00795953">
        <w:t>,</w:t>
      </w:r>
      <w:r w:rsidR="009D7337" w:rsidRPr="00795953">
        <w:t xml:space="preserve"> por ello, a diferencia de los datos estadísticos</w:t>
      </w:r>
      <w:r w:rsidR="007C0C8A" w:rsidRPr="00795953">
        <w:t>,</w:t>
      </w:r>
      <w:r w:rsidR="009D7337" w:rsidRPr="00795953">
        <w:t xml:space="preserve"> son en un menor grado hechos consumados. Así, </w:t>
      </w:r>
      <w:r w:rsidR="00AA7B1C" w:rsidRPr="00795953">
        <w:t>un</w:t>
      </w:r>
      <w:r w:rsidR="009D7337" w:rsidRPr="00795953">
        <w:t xml:space="preserve"> reto que tenemos </w:t>
      </w:r>
      <w:r w:rsidR="00AA7B1C" w:rsidRPr="00795953">
        <w:t xml:space="preserve">de antemano </w:t>
      </w:r>
      <w:r w:rsidR="009D7337" w:rsidRPr="00795953">
        <w:t xml:space="preserve">ante los otros casos de los que podemos aprender, es el del estado en el que se encuentran ordenadas nuestras fuentes </w:t>
      </w:r>
      <w:r w:rsidR="00AA7B1C" w:rsidRPr="00795953">
        <w:t xml:space="preserve">de acceso estadístico y, aquellas reunidas </w:t>
      </w:r>
      <w:r w:rsidR="00397367" w:rsidRPr="00795953">
        <w:t xml:space="preserve">en una menor cantidad </w:t>
      </w:r>
      <w:r w:rsidR="00AA7B1C" w:rsidRPr="00795953">
        <w:t xml:space="preserve">de las </w:t>
      </w:r>
      <w:r w:rsidR="00AA7B1C" w:rsidRPr="00795953">
        <w:rPr>
          <w:i/>
        </w:rPr>
        <w:t>percepciones</w:t>
      </w:r>
      <w:r w:rsidR="00AA7B1C" w:rsidRPr="00795953">
        <w:t xml:space="preserve"> sobre diversos aspectos de</w:t>
      </w:r>
      <w:r w:rsidR="00397367" w:rsidRPr="00795953">
        <w:t xml:space="preserve"> la cultura de los habitantes. </w:t>
      </w:r>
      <w:r w:rsidR="000C3F13" w:rsidRPr="00795953">
        <w:t xml:space="preserve">A su vez, salvo a limitaciones de carácter presupuestal, estamos considerando el acceso </w:t>
      </w:r>
      <w:r w:rsidR="000C3F13" w:rsidRPr="00795953">
        <w:lastRenderedPageBreak/>
        <w:t>tanto a nuevas encuestas como a entrevistas a expertos o entrevistas exhaustivas, y a grupos de enfoque y observación y estudios de caso</w:t>
      </w:r>
      <w:r w:rsidRPr="00795953">
        <w:t>.</w:t>
      </w:r>
    </w:p>
    <w:p w:rsidR="00A927C0" w:rsidRDefault="00A927C0">
      <w:pPr>
        <w:rPr>
          <w:b/>
        </w:rPr>
      </w:pPr>
      <w:r>
        <w:rPr>
          <w:b/>
        </w:rPr>
        <w:br w:type="page"/>
      </w:r>
    </w:p>
    <w:p w:rsidR="00397367" w:rsidRPr="00795953" w:rsidRDefault="007F1DB1" w:rsidP="00795953">
      <w:pPr>
        <w:spacing w:line="360" w:lineRule="auto"/>
        <w:rPr>
          <w:b/>
        </w:rPr>
      </w:pPr>
      <w:r w:rsidRPr="00795953">
        <w:rPr>
          <w:b/>
        </w:rPr>
        <w:lastRenderedPageBreak/>
        <w:t>Materiales consultados:</w:t>
      </w:r>
    </w:p>
    <w:p w:rsidR="000C3F13" w:rsidRPr="00795953" w:rsidRDefault="001177FE" w:rsidP="00795953">
      <w:pPr>
        <w:shd w:val="clear" w:color="auto" w:fill="FFFFFF"/>
        <w:spacing w:line="360" w:lineRule="auto"/>
        <w:rPr>
          <w:lang w:eastAsia="es-ES_tradnl"/>
        </w:rPr>
      </w:pPr>
      <w:hyperlink r:id="rId9" w:tgtFrame="_blank" w:history="1">
        <w:r w:rsidR="000C3F13" w:rsidRPr="00795953">
          <w:rPr>
            <w:lang w:eastAsia="es-ES_tradnl"/>
          </w:rPr>
          <w:t>https://ec.europa.eu/eurostat/statistics-explained/index.php/Main_Page</w:t>
        </w:r>
      </w:hyperlink>
    </w:p>
    <w:p w:rsidR="000C3F13" w:rsidRPr="00795953" w:rsidRDefault="001177FE" w:rsidP="00795953">
      <w:pPr>
        <w:shd w:val="clear" w:color="auto" w:fill="FFFFFF"/>
        <w:spacing w:line="360" w:lineRule="auto"/>
        <w:rPr>
          <w:lang w:eastAsia="es-ES_tradnl"/>
        </w:rPr>
      </w:pPr>
      <w:hyperlink r:id="rId10" w:tgtFrame="_blank" w:history="1">
        <w:r w:rsidR="000C3F13" w:rsidRPr="00795953">
          <w:rPr>
            <w:lang w:eastAsia="es-ES_tradnl"/>
          </w:rPr>
          <w:t>https://www.london.gov.uk/get-involved/culture-strategy-london</w:t>
        </w:r>
      </w:hyperlink>
    </w:p>
    <w:p w:rsidR="000C3F13" w:rsidRPr="00795953" w:rsidRDefault="001177FE" w:rsidP="00795953">
      <w:pPr>
        <w:shd w:val="clear" w:color="auto" w:fill="FFFFFF"/>
        <w:spacing w:line="360" w:lineRule="auto"/>
        <w:rPr>
          <w:lang w:eastAsia="es-ES_tradnl"/>
        </w:rPr>
      </w:pPr>
      <w:hyperlink r:id="rId11" w:tgtFrame="_blank" w:history="1">
        <w:r w:rsidR="000C3F13" w:rsidRPr="00795953">
          <w:rPr>
            <w:lang w:eastAsia="es-ES_tradnl"/>
          </w:rPr>
          <w:t>https://www.artscouncil.org.uk/sites/default/files/download-file/Experimental_Culture_summary_150318.pdf</w:t>
        </w:r>
      </w:hyperlink>
    </w:p>
    <w:p w:rsidR="000C3F13" w:rsidRPr="00795953" w:rsidRDefault="001177FE" w:rsidP="00795953">
      <w:pPr>
        <w:shd w:val="clear" w:color="auto" w:fill="FFFFFF"/>
        <w:spacing w:line="360" w:lineRule="auto"/>
        <w:rPr>
          <w:lang w:eastAsia="es-ES_tradnl"/>
        </w:rPr>
      </w:pPr>
      <w:hyperlink r:id="rId12" w:tgtFrame="_blank" w:history="1">
        <w:r w:rsidR="000C3F13" w:rsidRPr="00795953">
          <w:rPr>
            <w:lang w:eastAsia="es-ES_tradnl"/>
          </w:rPr>
          <w:t>http://www2.facso.uchile.cl/sociologia/1060225/docs/savage/cultural_map.pdf</w:t>
        </w:r>
      </w:hyperlink>
    </w:p>
    <w:p w:rsidR="000C3F13" w:rsidRPr="00795953" w:rsidRDefault="001177FE" w:rsidP="00795953">
      <w:pPr>
        <w:shd w:val="clear" w:color="auto" w:fill="FFFFFF"/>
        <w:spacing w:line="360" w:lineRule="auto"/>
        <w:rPr>
          <w:lang w:eastAsia="es-ES_tradnl"/>
        </w:rPr>
      </w:pPr>
      <w:hyperlink r:id="rId13" w:tgtFrame="_blank" w:history="1">
        <w:r w:rsidR="000C3F13" w:rsidRPr="00795953">
          <w:rPr>
            <w:lang w:eastAsia="es-ES_tradnl"/>
          </w:rPr>
          <w:t>https://data.london.gov.uk/topic/art-and-culture</w:t>
        </w:r>
      </w:hyperlink>
    </w:p>
    <w:p w:rsidR="000C3F13" w:rsidRPr="00795953" w:rsidRDefault="001177FE" w:rsidP="00795953">
      <w:pPr>
        <w:shd w:val="clear" w:color="auto" w:fill="FFFFFF"/>
        <w:spacing w:line="360" w:lineRule="auto"/>
        <w:rPr>
          <w:lang w:eastAsia="es-ES_tradnl"/>
        </w:rPr>
      </w:pPr>
      <w:hyperlink r:id="rId14" w:tgtFrame="_blank" w:history="1">
        <w:r w:rsidR="000C3F13" w:rsidRPr="00795953">
          <w:rPr>
            <w:lang w:eastAsia="es-ES_tradnl"/>
          </w:rPr>
          <w:t>https://www.artscouncil.org.uk/sites/default/files/download-file/Contribution_arts_culture_industry_UK_economy.pdf</w:t>
        </w:r>
      </w:hyperlink>
    </w:p>
    <w:p w:rsidR="000C3F13" w:rsidRPr="00795953" w:rsidRDefault="001177FE" w:rsidP="00795953">
      <w:pPr>
        <w:shd w:val="clear" w:color="auto" w:fill="FFFFFF"/>
        <w:spacing w:line="360" w:lineRule="auto"/>
        <w:rPr>
          <w:lang w:eastAsia="es-ES_tradnl"/>
        </w:rPr>
      </w:pPr>
      <w:hyperlink r:id="rId15" w:tgtFrame="_blank" w:history="1">
        <w:r w:rsidR="000C3F13" w:rsidRPr="00795953">
          <w:rPr>
            <w:lang w:eastAsia="es-ES_tradnl"/>
          </w:rPr>
          <w:t>https://www.artscouncil.org.uk/sites/default/files/download-file/Contribution_arts_culture_industry_UK_economy.pdf</w:t>
        </w:r>
      </w:hyperlink>
    </w:p>
    <w:p w:rsidR="000C3F13" w:rsidRPr="00795953" w:rsidRDefault="001177FE" w:rsidP="00795953">
      <w:pPr>
        <w:shd w:val="clear" w:color="auto" w:fill="FFFFFF"/>
        <w:spacing w:line="360" w:lineRule="auto"/>
        <w:rPr>
          <w:lang w:eastAsia="es-ES_tradnl"/>
        </w:rPr>
      </w:pPr>
      <w:hyperlink r:id="rId16" w:tgtFrame="_blank" w:history="1">
        <w:r w:rsidR="000C3F13" w:rsidRPr="00795953">
          <w:rPr>
            <w:lang w:eastAsia="es-ES_tradnl"/>
          </w:rPr>
          <w:t>http://www.oxfordbibliographies.com/view/document/obo-9780199756384/obo-9780199756384-0135.xml</w:t>
        </w:r>
      </w:hyperlink>
    </w:p>
    <w:p w:rsidR="000C3F13" w:rsidRPr="00795953" w:rsidRDefault="001177FE" w:rsidP="00795953">
      <w:pPr>
        <w:shd w:val="clear" w:color="auto" w:fill="FFFFFF"/>
        <w:spacing w:line="360" w:lineRule="auto"/>
        <w:rPr>
          <w:lang w:eastAsia="es-ES_tradnl"/>
        </w:rPr>
      </w:pPr>
      <w:hyperlink r:id="rId17" w:tgtFrame="_blank" w:history="1">
        <w:r w:rsidR="000C3F13" w:rsidRPr="00795953">
          <w:rPr>
            <w:lang w:eastAsia="es-ES_tradnl"/>
          </w:rPr>
          <w:t>https://www.thealbany.org.uk/wp-content/uploads/2018/12/LBOC-Evaluation-Outcomes-and-Framework-CIA-Oct-18.pdf</w:t>
        </w:r>
      </w:hyperlink>
    </w:p>
    <w:p w:rsidR="000C3F13" w:rsidRPr="00795953" w:rsidRDefault="001177FE" w:rsidP="00795953">
      <w:pPr>
        <w:shd w:val="clear" w:color="auto" w:fill="FFFFFF"/>
        <w:spacing w:line="360" w:lineRule="auto"/>
        <w:rPr>
          <w:lang w:eastAsia="es-ES_tradnl"/>
        </w:rPr>
      </w:pPr>
      <w:hyperlink r:id="rId18" w:tgtFrame="_blank" w:history="1">
        <w:r w:rsidR="000C3F13" w:rsidRPr="00795953">
          <w:rPr>
            <w:lang w:eastAsia="es-ES_tradnl"/>
          </w:rPr>
          <w:t>https://www.ibe.org.uk/userassets/pressreleases/bb_culture_pr.pdf</w:t>
        </w:r>
      </w:hyperlink>
    </w:p>
    <w:p w:rsidR="008607B9" w:rsidRPr="00536A73" w:rsidRDefault="001177FE" w:rsidP="00795953">
      <w:pPr>
        <w:shd w:val="clear" w:color="auto" w:fill="FFFFFF"/>
        <w:spacing w:line="360" w:lineRule="auto"/>
        <w:rPr>
          <w:lang w:eastAsia="es-ES_tradnl"/>
        </w:rPr>
      </w:pPr>
      <w:hyperlink r:id="rId19" w:history="1">
        <w:r w:rsidR="00CD141B" w:rsidRPr="00536A73">
          <w:rPr>
            <w:rStyle w:val="Hipervnculo"/>
            <w:color w:val="auto"/>
            <w:u w:val="none"/>
            <w:lang w:eastAsia="es-ES_tradnl"/>
          </w:rPr>
          <w:t>https://ec.europa.eu/eurostat/web/culture/data#</w:t>
        </w:r>
      </w:hyperlink>
    </w:p>
    <w:p w:rsidR="00CD141B" w:rsidRPr="00536A73" w:rsidRDefault="00CD141B" w:rsidP="00795953">
      <w:pPr>
        <w:shd w:val="clear" w:color="auto" w:fill="FFFFFF"/>
        <w:spacing w:line="360" w:lineRule="auto"/>
        <w:rPr>
          <w:lang w:eastAsia="es-ES_tradnl"/>
        </w:rPr>
      </w:pPr>
      <w:r w:rsidRPr="00536A73">
        <w:rPr>
          <w:lang w:eastAsia="es-ES_tradnl"/>
        </w:rPr>
        <w:t>https://ec.europa.eurostat/statistics-explained/index.php?title=Culture_statistics_-_frequency_and_obstacles_in_partocopation&amp;oldid=403034</w:t>
      </w:r>
    </w:p>
    <w:p w:rsidR="00742B81" w:rsidRPr="00795953" w:rsidRDefault="001177FE" w:rsidP="00795953">
      <w:pPr>
        <w:spacing w:line="360" w:lineRule="auto"/>
      </w:pPr>
      <w:hyperlink r:id="rId20" w:history="1">
        <w:r w:rsidR="006E799B" w:rsidRPr="00536A73">
          <w:rPr>
            <w:rStyle w:val="Hipervnculo"/>
            <w:color w:val="auto"/>
            <w:u w:val="none"/>
          </w:rPr>
          <w:t>http://www.culturarecreacionydeporte.gov.co/portal/sites/default/files/6.%20Indicadores%20de%20gestion%20cultural.pdf</w:t>
        </w:r>
      </w:hyperlink>
    </w:p>
    <w:p w:rsidR="006E799B" w:rsidRPr="00795953" w:rsidRDefault="001177FE" w:rsidP="00795953">
      <w:pPr>
        <w:spacing w:line="360" w:lineRule="auto"/>
      </w:pPr>
      <w:hyperlink r:id="rId21" w:history="1">
        <w:r w:rsidR="006E799B" w:rsidRPr="00795953">
          <w:rPr>
            <w:rStyle w:val="Hipervnculo"/>
            <w:color w:val="auto"/>
            <w:u w:val="none"/>
          </w:rPr>
          <w:t>https://www.google.com/search?hl=es&amp;ei=317HXJLFHc2xggety4yoDw&amp;q=Importancia+de+los+Indicadores+Culturales+en+Costa+Rica&amp;oq=Importancia+de+los+Indicad</w:t>
        </w:r>
        <w:r w:rsidR="006E799B" w:rsidRPr="00795953">
          <w:rPr>
            <w:rStyle w:val="Hipervnculo"/>
            <w:color w:val="auto"/>
            <w:u w:val="none"/>
          </w:rPr>
          <w:lastRenderedPageBreak/>
          <w:t>ores+Culturales+en+Costa+Rica&amp;gs_l=psy-ab.3..35i39.1560.1560..2337...0.0..0.314.314.3-1......0....1..gws-wiz.......0i71.bZI1YfZCDck</w:t>
        </w:r>
      </w:hyperlink>
    </w:p>
    <w:p w:rsidR="00C17692" w:rsidRPr="00795953" w:rsidRDefault="00C17692" w:rsidP="00795953">
      <w:pPr>
        <w:spacing w:line="360" w:lineRule="auto"/>
      </w:pPr>
      <w:r w:rsidRPr="00795953">
        <w:t>https://www.Propuesta%20Africana%20de%20Medición%20Cultural.pdf</w:t>
      </w:r>
    </w:p>
    <w:p w:rsidR="006E799B" w:rsidRPr="00795953" w:rsidRDefault="006E799B" w:rsidP="00795953">
      <w:pPr>
        <w:spacing w:line="360" w:lineRule="auto"/>
      </w:pPr>
    </w:p>
    <w:p w:rsidR="00300BF6" w:rsidRPr="00795953" w:rsidRDefault="00300BF6" w:rsidP="00795953">
      <w:pPr>
        <w:spacing w:line="360" w:lineRule="auto"/>
        <w:rPr>
          <w:b/>
        </w:rPr>
      </w:pPr>
      <w:r w:rsidRPr="00795953">
        <w:rPr>
          <w:b/>
        </w:rPr>
        <w:t>Fuentes bibliográficas</w:t>
      </w:r>
      <w:r w:rsidR="008607B9" w:rsidRPr="00795953">
        <w:rPr>
          <w:b/>
        </w:rPr>
        <w:t>:</w:t>
      </w:r>
    </w:p>
    <w:p w:rsidR="00300BF6" w:rsidRPr="00795953" w:rsidRDefault="00300BF6" w:rsidP="00795953">
      <w:pPr>
        <w:pStyle w:val="Prrafodelista"/>
        <w:numPr>
          <w:ilvl w:val="0"/>
          <w:numId w:val="11"/>
        </w:numPr>
        <w:spacing w:line="360" w:lineRule="auto"/>
        <w:rPr>
          <w:sz w:val="24"/>
          <w:szCs w:val="24"/>
        </w:rPr>
      </w:pPr>
      <w:r w:rsidRPr="00795953">
        <w:rPr>
          <w:sz w:val="24"/>
          <w:szCs w:val="24"/>
        </w:rPr>
        <w:t xml:space="preserve">González, E., Moscoso, F., </w:t>
      </w:r>
      <w:r w:rsidRPr="00795953">
        <w:rPr>
          <w:i/>
          <w:sz w:val="24"/>
          <w:szCs w:val="24"/>
        </w:rPr>
        <w:t>et al</w:t>
      </w:r>
      <w:r w:rsidRPr="00795953">
        <w:rPr>
          <w:sz w:val="24"/>
          <w:szCs w:val="24"/>
        </w:rPr>
        <w:t xml:space="preserve">. 2013. </w:t>
      </w:r>
      <w:r w:rsidRPr="00795953">
        <w:rPr>
          <w:i/>
          <w:sz w:val="24"/>
          <w:szCs w:val="24"/>
        </w:rPr>
        <w:t>Medición y caracterización del impacto económico y el valor social y cultural de festivales en Colombia</w:t>
      </w:r>
      <w:r w:rsidR="00523427">
        <w:rPr>
          <w:sz w:val="24"/>
          <w:szCs w:val="24"/>
        </w:rPr>
        <w:t xml:space="preserve">. </w:t>
      </w:r>
      <w:r w:rsidRPr="00795953">
        <w:rPr>
          <w:sz w:val="24"/>
          <w:szCs w:val="24"/>
        </w:rPr>
        <w:t xml:space="preserve">Colombia, EAN, </w:t>
      </w:r>
      <w:r w:rsidR="00E200F5" w:rsidRPr="00795953">
        <w:rPr>
          <w:sz w:val="24"/>
          <w:szCs w:val="24"/>
        </w:rPr>
        <w:t>114</w:t>
      </w:r>
      <w:r w:rsidRPr="00795953">
        <w:rPr>
          <w:sz w:val="24"/>
          <w:szCs w:val="24"/>
        </w:rPr>
        <w:t xml:space="preserve"> pp.</w:t>
      </w:r>
    </w:p>
    <w:p w:rsidR="00157243" w:rsidRPr="00795953" w:rsidRDefault="00157243" w:rsidP="00795953">
      <w:pPr>
        <w:pStyle w:val="Prrafodelista"/>
        <w:numPr>
          <w:ilvl w:val="0"/>
          <w:numId w:val="9"/>
        </w:numPr>
        <w:spacing w:line="360" w:lineRule="auto"/>
        <w:rPr>
          <w:i/>
          <w:sz w:val="24"/>
          <w:szCs w:val="24"/>
        </w:rPr>
      </w:pPr>
      <w:r w:rsidRPr="00795953">
        <w:rPr>
          <w:i/>
          <w:sz w:val="24"/>
          <w:szCs w:val="24"/>
        </w:rPr>
        <w:t>Impacto económico y valor cultural y social de la 1ª. Bienal de danza de Cali</w:t>
      </w:r>
      <w:r w:rsidRPr="00795953">
        <w:rPr>
          <w:sz w:val="24"/>
          <w:szCs w:val="24"/>
        </w:rPr>
        <w:t xml:space="preserve">. 2013, Colombia, </w:t>
      </w:r>
      <w:r w:rsidR="00F52CFD" w:rsidRPr="00795953">
        <w:rPr>
          <w:sz w:val="24"/>
          <w:szCs w:val="24"/>
        </w:rPr>
        <w:t xml:space="preserve">Ministerio de Cultura, </w:t>
      </w:r>
      <w:r w:rsidRPr="00795953">
        <w:rPr>
          <w:sz w:val="24"/>
          <w:szCs w:val="24"/>
        </w:rPr>
        <w:t>564-619 pp.</w:t>
      </w:r>
    </w:p>
    <w:p w:rsidR="00157243" w:rsidRPr="00795953" w:rsidRDefault="00157243" w:rsidP="00795953">
      <w:pPr>
        <w:pStyle w:val="Prrafodelista"/>
        <w:numPr>
          <w:ilvl w:val="0"/>
          <w:numId w:val="8"/>
        </w:numPr>
        <w:spacing w:line="360" w:lineRule="auto"/>
        <w:rPr>
          <w:sz w:val="24"/>
          <w:szCs w:val="24"/>
        </w:rPr>
      </w:pPr>
      <w:r w:rsidRPr="00523427">
        <w:rPr>
          <w:i/>
          <w:sz w:val="24"/>
          <w:szCs w:val="24"/>
        </w:rPr>
        <w:t>Análisis de la encuesta del estudio público del museo del Antiguo Colegio de San Ildefonso</w:t>
      </w:r>
      <w:r w:rsidR="00523427">
        <w:rPr>
          <w:sz w:val="24"/>
          <w:szCs w:val="24"/>
        </w:rPr>
        <w:t xml:space="preserve">. </w:t>
      </w:r>
      <w:r w:rsidR="00F52CFD" w:rsidRPr="00795953">
        <w:rPr>
          <w:sz w:val="24"/>
          <w:szCs w:val="24"/>
        </w:rPr>
        <w:t xml:space="preserve">2011, </w:t>
      </w:r>
      <w:r w:rsidRPr="00795953">
        <w:rPr>
          <w:sz w:val="24"/>
          <w:szCs w:val="24"/>
        </w:rPr>
        <w:t xml:space="preserve">México, CONACULTA, </w:t>
      </w:r>
      <w:r w:rsidR="00F52CFD" w:rsidRPr="00795953">
        <w:rPr>
          <w:sz w:val="24"/>
          <w:szCs w:val="24"/>
        </w:rPr>
        <w:t>181 pp.</w:t>
      </w:r>
    </w:p>
    <w:p w:rsidR="00FB41C6" w:rsidRPr="00795953" w:rsidRDefault="00FB41C6" w:rsidP="00795953">
      <w:pPr>
        <w:pStyle w:val="Prrafodelista"/>
        <w:numPr>
          <w:ilvl w:val="0"/>
          <w:numId w:val="7"/>
        </w:numPr>
        <w:spacing w:line="360" w:lineRule="auto"/>
        <w:rPr>
          <w:sz w:val="24"/>
          <w:szCs w:val="24"/>
        </w:rPr>
      </w:pPr>
      <w:r w:rsidRPr="00795953">
        <w:rPr>
          <w:i/>
          <w:sz w:val="24"/>
          <w:szCs w:val="24"/>
        </w:rPr>
        <w:t>Diagnóstico cultural de Colombia. Hacia la construcción del índice de desarrollo cultural</w:t>
      </w:r>
      <w:r w:rsidRPr="00795953">
        <w:rPr>
          <w:sz w:val="24"/>
          <w:szCs w:val="24"/>
        </w:rPr>
        <w:t>. 2013, Colombia, Ministerio de Cultura, 191 pp.</w:t>
      </w:r>
    </w:p>
    <w:p w:rsidR="00FB41C6" w:rsidRPr="00795953" w:rsidRDefault="00E200F5" w:rsidP="00795953">
      <w:pPr>
        <w:pStyle w:val="Prrafodelista"/>
        <w:numPr>
          <w:ilvl w:val="0"/>
          <w:numId w:val="6"/>
        </w:numPr>
        <w:spacing w:line="360" w:lineRule="auto"/>
        <w:rPr>
          <w:sz w:val="24"/>
          <w:szCs w:val="24"/>
        </w:rPr>
      </w:pPr>
      <w:r w:rsidRPr="00795953">
        <w:rPr>
          <w:i/>
          <w:sz w:val="24"/>
          <w:szCs w:val="24"/>
        </w:rPr>
        <w:t>Indicadores UNESCO de cultura para el desarrollo. Manual metodológico</w:t>
      </w:r>
      <w:r w:rsidRPr="00795953">
        <w:rPr>
          <w:sz w:val="24"/>
          <w:szCs w:val="24"/>
        </w:rPr>
        <w:t xml:space="preserve">. 2014, Francia, UNESCO, </w:t>
      </w:r>
      <w:r w:rsidR="0065096D" w:rsidRPr="00795953">
        <w:rPr>
          <w:sz w:val="24"/>
          <w:szCs w:val="24"/>
        </w:rPr>
        <w:t>140 pp.</w:t>
      </w:r>
    </w:p>
    <w:p w:rsidR="008607B9" w:rsidRPr="00795953" w:rsidRDefault="0065096D" w:rsidP="00795953">
      <w:pPr>
        <w:pStyle w:val="Prrafodelista"/>
        <w:numPr>
          <w:ilvl w:val="0"/>
          <w:numId w:val="5"/>
        </w:numPr>
        <w:spacing w:line="360" w:lineRule="auto"/>
        <w:rPr>
          <w:sz w:val="24"/>
          <w:szCs w:val="24"/>
        </w:rPr>
      </w:pPr>
      <w:r w:rsidRPr="00795953">
        <w:rPr>
          <w:i/>
          <w:sz w:val="24"/>
          <w:szCs w:val="24"/>
        </w:rPr>
        <w:t>Metodología de medición de eventos culturales masivos en el marco de la cuenta satélite de cultura de Costa Rica</w:t>
      </w:r>
      <w:r w:rsidRPr="00795953">
        <w:rPr>
          <w:sz w:val="24"/>
          <w:szCs w:val="24"/>
        </w:rPr>
        <w:t>. 2014, Costa Rica, Ministerio de Cultura y Juventud, 53 pp.</w:t>
      </w:r>
    </w:p>
    <w:p w:rsidR="0065096D" w:rsidRPr="00795953" w:rsidRDefault="0065096D" w:rsidP="00795953">
      <w:pPr>
        <w:pStyle w:val="Prrafodelista"/>
        <w:numPr>
          <w:ilvl w:val="0"/>
          <w:numId w:val="4"/>
        </w:numPr>
        <w:spacing w:line="360" w:lineRule="auto"/>
        <w:rPr>
          <w:sz w:val="24"/>
          <w:szCs w:val="24"/>
        </w:rPr>
      </w:pPr>
      <w:r w:rsidRPr="00795953">
        <w:rPr>
          <w:i/>
          <w:sz w:val="24"/>
          <w:szCs w:val="24"/>
        </w:rPr>
        <w:t>Cómo medir la participación cultural. Manual del marco de estadístic</w:t>
      </w:r>
      <w:r w:rsidR="008607B9" w:rsidRPr="00795953">
        <w:rPr>
          <w:i/>
          <w:sz w:val="24"/>
          <w:szCs w:val="24"/>
        </w:rPr>
        <w:t>as culturales de la UNESCO 2009</w:t>
      </w:r>
      <w:r w:rsidR="008607B9" w:rsidRPr="00795953">
        <w:rPr>
          <w:sz w:val="24"/>
          <w:szCs w:val="24"/>
        </w:rPr>
        <w:t>, No.2. 2014,</w:t>
      </w:r>
      <w:r w:rsidRPr="00795953">
        <w:rPr>
          <w:sz w:val="24"/>
          <w:szCs w:val="24"/>
        </w:rPr>
        <w:t xml:space="preserve"> </w:t>
      </w:r>
      <w:r w:rsidR="008607B9" w:rsidRPr="00795953">
        <w:rPr>
          <w:sz w:val="24"/>
          <w:szCs w:val="24"/>
        </w:rPr>
        <w:t xml:space="preserve">Canadá, </w:t>
      </w:r>
      <w:r w:rsidR="00546CFE" w:rsidRPr="00795953">
        <w:rPr>
          <w:sz w:val="24"/>
          <w:szCs w:val="24"/>
        </w:rPr>
        <w:t xml:space="preserve">UNESCO, </w:t>
      </w:r>
      <w:r w:rsidR="008607B9" w:rsidRPr="00795953">
        <w:rPr>
          <w:sz w:val="24"/>
          <w:szCs w:val="24"/>
        </w:rPr>
        <w:t>133 pp.</w:t>
      </w:r>
    </w:p>
    <w:p w:rsidR="008607B9" w:rsidRPr="00795953" w:rsidRDefault="008607B9" w:rsidP="00795953">
      <w:pPr>
        <w:pStyle w:val="Prrafodelista"/>
        <w:numPr>
          <w:ilvl w:val="0"/>
          <w:numId w:val="2"/>
        </w:numPr>
        <w:spacing w:line="360" w:lineRule="auto"/>
        <w:rPr>
          <w:i/>
          <w:sz w:val="24"/>
          <w:szCs w:val="24"/>
          <w:lang w:val="en-US"/>
        </w:rPr>
      </w:pPr>
      <w:r w:rsidRPr="00795953">
        <w:rPr>
          <w:i/>
          <w:sz w:val="24"/>
          <w:szCs w:val="24"/>
          <w:lang w:val="en-US"/>
        </w:rPr>
        <w:t>CIC UK for the world</w:t>
      </w:r>
      <w:r w:rsidR="00523427">
        <w:rPr>
          <w:i/>
          <w:sz w:val="24"/>
          <w:szCs w:val="24"/>
          <w:lang w:val="en-US"/>
        </w:rPr>
        <w:t>.</w:t>
      </w:r>
    </w:p>
    <w:p w:rsidR="008607B9" w:rsidRPr="00795953" w:rsidRDefault="008607B9" w:rsidP="00795953">
      <w:pPr>
        <w:pStyle w:val="Prrafodelista"/>
        <w:numPr>
          <w:ilvl w:val="0"/>
          <w:numId w:val="2"/>
        </w:numPr>
        <w:spacing w:line="360" w:lineRule="auto"/>
        <w:rPr>
          <w:i/>
          <w:sz w:val="24"/>
          <w:szCs w:val="24"/>
          <w:lang w:val="en-US"/>
        </w:rPr>
      </w:pPr>
      <w:r w:rsidRPr="00795953">
        <w:rPr>
          <w:i/>
          <w:sz w:val="24"/>
          <w:szCs w:val="24"/>
          <w:lang w:val="en-US"/>
        </w:rPr>
        <w:t>Arts and culture: facts and figures-</w:t>
      </w:r>
      <w:proofErr w:type="spellStart"/>
      <w:r w:rsidRPr="00795953">
        <w:rPr>
          <w:i/>
          <w:sz w:val="24"/>
          <w:szCs w:val="24"/>
          <w:lang w:val="en-US"/>
        </w:rPr>
        <w:t>uk</w:t>
      </w:r>
      <w:proofErr w:type="spellEnd"/>
      <w:r w:rsidRPr="00795953">
        <w:rPr>
          <w:i/>
          <w:sz w:val="24"/>
          <w:szCs w:val="24"/>
          <w:lang w:val="en-US"/>
        </w:rPr>
        <w:t xml:space="preserve"> created industries</w:t>
      </w:r>
      <w:r w:rsidR="00523427">
        <w:rPr>
          <w:i/>
          <w:sz w:val="24"/>
          <w:szCs w:val="24"/>
          <w:lang w:val="en-US"/>
        </w:rPr>
        <w:t>.</w:t>
      </w:r>
    </w:p>
    <w:p w:rsidR="008607B9" w:rsidRPr="00795953" w:rsidRDefault="008607B9" w:rsidP="00795953">
      <w:pPr>
        <w:pStyle w:val="Prrafodelista"/>
        <w:numPr>
          <w:ilvl w:val="0"/>
          <w:numId w:val="2"/>
        </w:numPr>
        <w:spacing w:line="360" w:lineRule="auto"/>
        <w:rPr>
          <w:i/>
          <w:sz w:val="24"/>
          <w:szCs w:val="24"/>
          <w:lang w:val="en-US"/>
        </w:rPr>
      </w:pPr>
      <w:r w:rsidRPr="00795953">
        <w:rPr>
          <w:i/>
          <w:sz w:val="24"/>
          <w:szCs w:val="24"/>
          <w:lang w:val="en-US"/>
        </w:rPr>
        <w:t>Taking part survey/arts council, England</w:t>
      </w:r>
      <w:r w:rsidR="00523427">
        <w:rPr>
          <w:i/>
          <w:sz w:val="24"/>
          <w:szCs w:val="24"/>
          <w:lang w:val="en-US"/>
        </w:rPr>
        <w:t>.</w:t>
      </w:r>
    </w:p>
    <w:p w:rsidR="008607B9" w:rsidRPr="00795953" w:rsidRDefault="00626AC1" w:rsidP="00795953">
      <w:pPr>
        <w:pStyle w:val="Prrafodelista"/>
        <w:numPr>
          <w:ilvl w:val="0"/>
          <w:numId w:val="2"/>
        </w:numPr>
        <w:spacing w:line="360" w:lineRule="auto"/>
        <w:rPr>
          <w:i/>
          <w:sz w:val="24"/>
          <w:szCs w:val="24"/>
          <w:lang w:val="en-US"/>
        </w:rPr>
      </w:pPr>
      <w:r w:rsidRPr="00795953">
        <w:rPr>
          <w:i/>
          <w:sz w:val="24"/>
          <w:szCs w:val="24"/>
          <w:lang w:val="en-US"/>
        </w:rPr>
        <w:t>Europ</w:t>
      </w:r>
      <w:r w:rsidR="00CD141B" w:rsidRPr="00795953">
        <w:rPr>
          <w:i/>
          <w:sz w:val="24"/>
          <w:szCs w:val="24"/>
          <w:lang w:val="en-US"/>
        </w:rPr>
        <w:t>ean statistical system network on culture (</w:t>
      </w:r>
      <w:proofErr w:type="spellStart"/>
      <w:r w:rsidR="00CD141B" w:rsidRPr="00795953">
        <w:rPr>
          <w:i/>
          <w:sz w:val="24"/>
          <w:szCs w:val="24"/>
          <w:lang w:val="en-US"/>
        </w:rPr>
        <w:t>ESSnet</w:t>
      </w:r>
      <w:proofErr w:type="spellEnd"/>
      <w:r w:rsidR="00CD141B" w:rsidRPr="00795953">
        <w:rPr>
          <w:i/>
          <w:sz w:val="24"/>
          <w:szCs w:val="24"/>
          <w:lang w:val="en-US"/>
        </w:rPr>
        <w:t>-Culture final report 2012)</w:t>
      </w:r>
      <w:r w:rsidR="00523427">
        <w:rPr>
          <w:i/>
          <w:sz w:val="24"/>
          <w:szCs w:val="24"/>
          <w:lang w:val="en-US"/>
        </w:rPr>
        <w:t>.</w:t>
      </w:r>
    </w:p>
    <w:p w:rsidR="00546CFE" w:rsidRPr="00795953" w:rsidRDefault="00546CFE" w:rsidP="00795953">
      <w:pPr>
        <w:pStyle w:val="Prrafodelista"/>
        <w:numPr>
          <w:ilvl w:val="0"/>
          <w:numId w:val="2"/>
        </w:numPr>
        <w:spacing w:line="360" w:lineRule="auto"/>
        <w:rPr>
          <w:i/>
          <w:sz w:val="24"/>
          <w:szCs w:val="24"/>
          <w:lang w:val="en-US"/>
        </w:rPr>
      </w:pPr>
      <w:r w:rsidRPr="00795953">
        <w:rPr>
          <w:i/>
          <w:sz w:val="24"/>
          <w:szCs w:val="24"/>
          <w:lang w:val="en-US"/>
        </w:rPr>
        <w:t>The 2015 Report by the Warwick Commission on the Future of Cultural Value</w:t>
      </w:r>
      <w:r w:rsidR="00626AC1" w:rsidRPr="00795953">
        <w:rPr>
          <w:sz w:val="24"/>
          <w:szCs w:val="24"/>
          <w:lang w:val="en-US"/>
        </w:rPr>
        <w:t xml:space="preserve">. </w:t>
      </w:r>
      <w:r w:rsidRPr="00795953">
        <w:rPr>
          <w:sz w:val="24"/>
          <w:szCs w:val="24"/>
          <w:lang w:val="en-US"/>
        </w:rPr>
        <w:t xml:space="preserve">2015, </w:t>
      </w:r>
      <w:proofErr w:type="spellStart"/>
      <w:r w:rsidR="00112732">
        <w:rPr>
          <w:sz w:val="24"/>
          <w:szCs w:val="24"/>
          <w:lang w:val="en-US"/>
        </w:rPr>
        <w:t>Inglaterra</w:t>
      </w:r>
      <w:proofErr w:type="spellEnd"/>
      <w:r w:rsidR="00112732">
        <w:rPr>
          <w:sz w:val="24"/>
          <w:szCs w:val="24"/>
          <w:lang w:val="en-US"/>
        </w:rPr>
        <w:t xml:space="preserve">, </w:t>
      </w:r>
      <w:r w:rsidRPr="00795953">
        <w:rPr>
          <w:sz w:val="24"/>
          <w:szCs w:val="24"/>
          <w:lang w:val="en-US"/>
        </w:rPr>
        <w:t>University of Warwick, 76 pp.</w:t>
      </w:r>
    </w:p>
    <w:p w:rsidR="005366E7" w:rsidRPr="00795953" w:rsidRDefault="00546CFE" w:rsidP="00795953">
      <w:pPr>
        <w:pStyle w:val="Prrafodelista"/>
        <w:numPr>
          <w:ilvl w:val="0"/>
          <w:numId w:val="2"/>
        </w:numPr>
        <w:spacing w:line="360" w:lineRule="auto"/>
        <w:rPr>
          <w:i/>
          <w:sz w:val="24"/>
          <w:szCs w:val="24"/>
          <w:lang w:val="en-US"/>
        </w:rPr>
      </w:pPr>
      <w:r w:rsidRPr="00795953">
        <w:rPr>
          <w:i/>
          <w:sz w:val="24"/>
          <w:szCs w:val="24"/>
          <w:lang w:val="en-US"/>
        </w:rPr>
        <w:lastRenderedPageBreak/>
        <w:t>Culture on Demand</w:t>
      </w:r>
      <w:r w:rsidR="00626AC1" w:rsidRPr="00795953">
        <w:rPr>
          <w:i/>
          <w:sz w:val="24"/>
          <w:szCs w:val="24"/>
          <w:lang w:val="en-US"/>
        </w:rPr>
        <w:t>.</w:t>
      </w:r>
      <w:r w:rsidRPr="00795953">
        <w:rPr>
          <w:i/>
          <w:sz w:val="24"/>
          <w:szCs w:val="24"/>
          <w:lang w:val="en-US"/>
        </w:rPr>
        <w:t xml:space="preserve"> Ways to engage a broader audience. Summary</w:t>
      </w:r>
      <w:r w:rsidR="00523427">
        <w:rPr>
          <w:sz w:val="24"/>
          <w:szCs w:val="24"/>
          <w:lang w:val="en-US"/>
        </w:rPr>
        <w:t>.</w:t>
      </w:r>
      <w:r w:rsidRPr="00795953">
        <w:rPr>
          <w:sz w:val="24"/>
          <w:szCs w:val="24"/>
          <w:lang w:val="en-US"/>
        </w:rPr>
        <w:t xml:space="preserve"> 2007</w:t>
      </w:r>
      <w:r w:rsidR="00626AC1" w:rsidRPr="00795953">
        <w:rPr>
          <w:sz w:val="24"/>
          <w:szCs w:val="24"/>
          <w:lang w:val="en-US"/>
        </w:rPr>
        <w:t xml:space="preserve">, </w:t>
      </w:r>
      <w:proofErr w:type="spellStart"/>
      <w:r w:rsidR="00626AC1" w:rsidRPr="00795953">
        <w:rPr>
          <w:sz w:val="24"/>
          <w:szCs w:val="24"/>
          <w:lang w:val="en-US"/>
        </w:rPr>
        <w:t>Inglaterra</w:t>
      </w:r>
      <w:proofErr w:type="spellEnd"/>
      <w:r w:rsidR="00626AC1" w:rsidRPr="00795953">
        <w:rPr>
          <w:sz w:val="24"/>
          <w:szCs w:val="24"/>
          <w:lang w:val="en-US"/>
        </w:rPr>
        <w:t xml:space="preserve">, </w:t>
      </w:r>
      <w:proofErr w:type="spellStart"/>
      <w:r w:rsidR="00626AC1" w:rsidRPr="00795953">
        <w:rPr>
          <w:sz w:val="24"/>
          <w:szCs w:val="24"/>
          <w:lang w:val="en-US"/>
        </w:rPr>
        <w:t>dcms</w:t>
      </w:r>
      <w:proofErr w:type="spellEnd"/>
      <w:r w:rsidR="00626AC1" w:rsidRPr="00795953">
        <w:rPr>
          <w:sz w:val="24"/>
          <w:szCs w:val="24"/>
          <w:lang w:val="en-US"/>
        </w:rPr>
        <w:t>, 24 pp.</w:t>
      </w:r>
    </w:p>
    <w:p w:rsidR="00546CFE" w:rsidRPr="00795953" w:rsidRDefault="00546CFE" w:rsidP="00795953">
      <w:pPr>
        <w:pStyle w:val="Prrafodelista"/>
        <w:numPr>
          <w:ilvl w:val="0"/>
          <w:numId w:val="2"/>
        </w:numPr>
        <w:spacing w:line="360" w:lineRule="auto"/>
        <w:rPr>
          <w:i/>
          <w:sz w:val="24"/>
          <w:szCs w:val="24"/>
          <w:lang w:val="en-US"/>
        </w:rPr>
      </w:pPr>
      <w:r w:rsidRPr="00795953">
        <w:rPr>
          <w:i/>
          <w:sz w:val="24"/>
          <w:szCs w:val="24"/>
          <w:lang w:val="en-US"/>
        </w:rPr>
        <w:t>The globalization of cultural trade: a shift in consumption. International flows of cultural goods and services 2004</w:t>
      </w:r>
      <w:r w:rsidR="00626AC1" w:rsidRPr="00795953">
        <w:rPr>
          <w:i/>
          <w:sz w:val="24"/>
          <w:szCs w:val="24"/>
          <w:lang w:val="en-US"/>
        </w:rPr>
        <w:t>-2013</w:t>
      </w:r>
      <w:r w:rsidR="00626AC1" w:rsidRPr="00795953">
        <w:rPr>
          <w:sz w:val="24"/>
          <w:szCs w:val="24"/>
          <w:lang w:val="en-US"/>
        </w:rPr>
        <w:t xml:space="preserve">. 2016, </w:t>
      </w:r>
      <w:proofErr w:type="spellStart"/>
      <w:r w:rsidR="00626AC1" w:rsidRPr="00795953">
        <w:rPr>
          <w:sz w:val="24"/>
          <w:szCs w:val="24"/>
          <w:lang w:val="en-US"/>
        </w:rPr>
        <w:t>Canadá</w:t>
      </w:r>
      <w:proofErr w:type="spellEnd"/>
      <w:r w:rsidR="00626AC1" w:rsidRPr="00795953">
        <w:rPr>
          <w:sz w:val="24"/>
          <w:szCs w:val="24"/>
          <w:lang w:val="en-US"/>
        </w:rPr>
        <w:t>, UNESCO, 192 pp.</w:t>
      </w:r>
    </w:p>
    <w:p w:rsidR="00626AC1" w:rsidRPr="00795953" w:rsidRDefault="00626AC1" w:rsidP="00795953">
      <w:pPr>
        <w:pStyle w:val="Prrafodelista"/>
        <w:numPr>
          <w:ilvl w:val="0"/>
          <w:numId w:val="2"/>
        </w:numPr>
        <w:spacing w:line="360" w:lineRule="auto"/>
        <w:rPr>
          <w:i/>
          <w:sz w:val="24"/>
          <w:szCs w:val="24"/>
          <w:lang w:val="en-US"/>
        </w:rPr>
      </w:pPr>
      <w:r w:rsidRPr="00795953">
        <w:rPr>
          <w:i/>
          <w:sz w:val="24"/>
          <w:szCs w:val="24"/>
          <w:lang w:val="en-US"/>
        </w:rPr>
        <w:t>Culture is digital</w:t>
      </w:r>
      <w:r w:rsidRPr="00795953">
        <w:rPr>
          <w:sz w:val="24"/>
          <w:szCs w:val="24"/>
          <w:lang w:val="en-US"/>
        </w:rPr>
        <w:t xml:space="preserve">. 2018, </w:t>
      </w:r>
      <w:proofErr w:type="spellStart"/>
      <w:r w:rsidRPr="00795953">
        <w:rPr>
          <w:sz w:val="24"/>
          <w:szCs w:val="24"/>
          <w:lang w:val="en-US"/>
        </w:rPr>
        <w:t>Inglaterra</w:t>
      </w:r>
      <w:proofErr w:type="spellEnd"/>
      <w:r w:rsidRPr="00795953">
        <w:rPr>
          <w:sz w:val="24"/>
          <w:szCs w:val="24"/>
          <w:lang w:val="en-US"/>
        </w:rPr>
        <w:t xml:space="preserve">, </w:t>
      </w:r>
      <w:proofErr w:type="spellStart"/>
      <w:r w:rsidRPr="00795953">
        <w:rPr>
          <w:sz w:val="24"/>
          <w:szCs w:val="24"/>
        </w:rPr>
        <w:t>Department</w:t>
      </w:r>
      <w:proofErr w:type="spellEnd"/>
      <w:r w:rsidRPr="00795953">
        <w:rPr>
          <w:sz w:val="24"/>
          <w:szCs w:val="24"/>
        </w:rPr>
        <w:t xml:space="preserve"> </w:t>
      </w:r>
      <w:proofErr w:type="spellStart"/>
      <w:r w:rsidRPr="00795953">
        <w:rPr>
          <w:sz w:val="24"/>
          <w:szCs w:val="24"/>
        </w:rPr>
        <w:t>for</w:t>
      </w:r>
      <w:proofErr w:type="spellEnd"/>
      <w:r w:rsidRPr="00795953">
        <w:rPr>
          <w:sz w:val="24"/>
          <w:szCs w:val="24"/>
        </w:rPr>
        <w:t xml:space="preserve"> Digital, Culture, Media &amp; Sport, 63 pp.</w:t>
      </w:r>
    </w:p>
    <w:p w:rsidR="004468E5" w:rsidRPr="00795953" w:rsidRDefault="006E799B" w:rsidP="00795953">
      <w:pPr>
        <w:pStyle w:val="Prrafodelista"/>
        <w:numPr>
          <w:ilvl w:val="0"/>
          <w:numId w:val="2"/>
        </w:numPr>
        <w:spacing w:line="360" w:lineRule="auto"/>
        <w:rPr>
          <w:i/>
          <w:sz w:val="24"/>
          <w:szCs w:val="24"/>
          <w:lang w:val="en-US"/>
        </w:rPr>
      </w:pPr>
      <w:r w:rsidRPr="00795953">
        <w:rPr>
          <w:i/>
          <w:sz w:val="24"/>
          <w:szCs w:val="24"/>
          <w:lang w:val="en-US"/>
        </w:rPr>
        <w:t>Culture for all Londoners. Mayor of London’s Culture Strategy</w:t>
      </w:r>
      <w:r w:rsidRPr="00795953">
        <w:rPr>
          <w:sz w:val="24"/>
          <w:szCs w:val="24"/>
          <w:lang w:val="en-US"/>
        </w:rPr>
        <w:t xml:space="preserve">. 2018, </w:t>
      </w:r>
      <w:proofErr w:type="spellStart"/>
      <w:r w:rsidRPr="00795953">
        <w:rPr>
          <w:sz w:val="24"/>
          <w:szCs w:val="24"/>
          <w:lang w:val="en-US"/>
        </w:rPr>
        <w:t>Inglaterra</w:t>
      </w:r>
      <w:proofErr w:type="spellEnd"/>
      <w:r w:rsidRPr="00795953">
        <w:rPr>
          <w:sz w:val="24"/>
          <w:szCs w:val="24"/>
          <w:lang w:val="en-US"/>
        </w:rPr>
        <w:t>, Greater London Authority City Hall, 180 pp.</w:t>
      </w:r>
    </w:p>
    <w:p w:rsidR="005366E7" w:rsidRPr="00795953" w:rsidRDefault="005366E7" w:rsidP="00795953">
      <w:pPr>
        <w:pStyle w:val="Prrafodelista"/>
        <w:numPr>
          <w:ilvl w:val="0"/>
          <w:numId w:val="2"/>
        </w:numPr>
        <w:spacing w:line="360" w:lineRule="auto"/>
        <w:rPr>
          <w:i/>
          <w:sz w:val="24"/>
          <w:szCs w:val="24"/>
        </w:rPr>
      </w:pPr>
      <w:r w:rsidRPr="00795953">
        <w:rPr>
          <w:i/>
          <w:sz w:val="24"/>
          <w:szCs w:val="24"/>
        </w:rPr>
        <w:t>Cómo evaluar proyectos de cultura para el desarrollo: una aproximación metodológica a la construcción de indicadores</w:t>
      </w:r>
      <w:r w:rsidR="00470AB7" w:rsidRPr="00795953">
        <w:rPr>
          <w:sz w:val="24"/>
          <w:szCs w:val="24"/>
        </w:rPr>
        <w:t>,</w:t>
      </w:r>
      <w:r w:rsidRPr="00795953">
        <w:rPr>
          <w:sz w:val="24"/>
          <w:szCs w:val="24"/>
        </w:rPr>
        <w:t xml:space="preserve"> </w:t>
      </w:r>
      <w:r w:rsidR="00470AB7" w:rsidRPr="00795953">
        <w:rPr>
          <w:sz w:val="24"/>
          <w:szCs w:val="24"/>
        </w:rPr>
        <w:t xml:space="preserve">s/f., </w:t>
      </w:r>
      <w:r w:rsidRPr="00795953">
        <w:rPr>
          <w:sz w:val="24"/>
          <w:szCs w:val="24"/>
        </w:rPr>
        <w:t>Agencia Española de Cooperación, España, 370 pp.</w:t>
      </w:r>
    </w:p>
    <w:p w:rsidR="005366E7" w:rsidRPr="00795953" w:rsidRDefault="00470AB7" w:rsidP="00795953">
      <w:pPr>
        <w:pStyle w:val="Prrafodelista"/>
        <w:numPr>
          <w:ilvl w:val="0"/>
          <w:numId w:val="2"/>
        </w:numPr>
        <w:spacing w:line="360" w:lineRule="auto"/>
        <w:rPr>
          <w:i/>
          <w:sz w:val="24"/>
          <w:szCs w:val="24"/>
        </w:rPr>
      </w:pPr>
      <w:r w:rsidRPr="00795953">
        <w:rPr>
          <w:i/>
          <w:sz w:val="24"/>
          <w:szCs w:val="24"/>
        </w:rPr>
        <w:t>Indicadores Culturales 2013: Instituto Nacional de Cultura de Panamá</w:t>
      </w:r>
      <w:r w:rsidRPr="00795953">
        <w:rPr>
          <w:sz w:val="24"/>
          <w:szCs w:val="24"/>
        </w:rPr>
        <w:t>. 2014, Panamá, Instituto Nacional de Cultura, 46 pp.</w:t>
      </w:r>
    </w:p>
    <w:p w:rsidR="00470AB7" w:rsidRPr="00795953" w:rsidRDefault="00470AB7" w:rsidP="00795953">
      <w:pPr>
        <w:pStyle w:val="Prrafodelista"/>
        <w:numPr>
          <w:ilvl w:val="0"/>
          <w:numId w:val="2"/>
        </w:numPr>
        <w:spacing w:line="360" w:lineRule="auto"/>
        <w:rPr>
          <w:i/>
          <w:sz w:val="24"/>
          <w:szCs w:val="24"/>
        </w:rPr>
      </w:pPr>
      <w:r w:rsidRPr="00795953">
        <w:rPr>
          <w:i/>
          <w:sz w:val="24"/>
          <w:szCs w:val="24"/>
        </w:rPr>
        <w:t>Indicadores para el Sector Cultural en Chile</w:t>
      </w:r>
      <w:r w:rsidRPr="00795953">
        <w:rPr>
          <w:sz w:val="24"/>
          <w:szCs w:val="24"/>
        </w:rPr>
        <w:t xml:space="preserve">. 2002-2004, </w:t>
      </w:r>
      <w:r w:rsidR="00112732" w:rsidRPr="00795953">
        <w:rPr>
          <w:sz w:val="24"/>
          <w:szCs w:val="24"/>
        </w:rPr>
        <w:t xml:space="preserve">Chile, </w:t>
      </w:r>
      <w:r w:rsidRPr="00795953">
        <w:rPr>
          <w:sz w:val="24"/>
          <w:szCs w:val="24"/>
        </w:rPr>
        <w:t>Portal Iberoamericano de Gestión Cultural, 11 pp.</w:t>
      </w:r>
    </w:p>
    <w:p w:rsidR="00470AB7" w:rsidRPr="00795953" w:rsidRDefault="00C17692" w:rsidP="00795953">
      <w:pPr>
        <w:pStyle w:val="Prrafodelista"/>
        <w:numPr>
          <w:ilvl w:val="0"/>
          <w:numId w:val="2"/>
        </w:numPr>
        <w:spacing w:line="360" w:lineRule="auto"/>
        <w:rPr>
          <w:sz w:val="24"/>
          <w:szCs w:val="24"/>
        </w:rPr>
      </w:pPr>
      <w:r w:rsidRPr="00795953">
        <w:rPr>
          <w:i/>
          <w:sz w:val="24"/>
          <w:szCs w:val="24"/>
        </w:rPr>
        <w:t>Indicadores de cultura para el desarrollo. Resumen analítico Perú.</w:t>
      </w:r>
      <w:r w:rsidRPr="00795953">
        <w:rPr>
          <w:sz w:val="24"/>
          <w:szCs w:val="24"/>
        </w:rPr>
        <w:t>2015, Perú, Ministerio de Cultura-UNESCO, 60 pp.</w:t>
      </w:r>
    </w:p>
    <w:p w:rsidR="00C17692" w:rsidRPr="00795953" w:rsidRDefault="00C17692" w:rsidP="00795953">
      <w:pPr>
        <w:pStyle w:val="Prrafodelista"/>
        <w:numPr>
          <w:ilvl w:val="0"/>
          <w:numId w:val="2"/>
        </w:numPr>
        <w:spacing w:line="360" w:lineRule="auto"/>
        <w:rPr>
          <w:sz w:val="24"/>
          <w:szCs w:val="24"/>
          <w:lang w:val="en-US"/>
        </w:rPr>
      </w:pPr>
      <w:r w:rsidRPr="00795953">
        <w:rPr>
          <w:i/>
          <w:sz w:val="24"/>
          <w:szCs w:val="24"/>
          <w:lang w:val="en-US"/>
        </w:rPr>
        <w:t>Statistical Indicators for Arts Policy</w:t>
      </w:r>
      <w:r w:rsidRPr="00795953">
        <w:rPr>
          <w:sz w:val="24"/>
          <w:szCs w:val="24"/>
          <w:lang w:val="en-US"/>
        </w:rPr>
        <w:t>. 2005</w:t>
      </w:r>
      <w:r w:rsidR="00A927C0" w:rsidRPr="00795953">
        <w:rPr>
          <w:sz w:val="24"/>
          <w:szCs w:val="24"/>
          <w:lang w:val="en-US"/>
        </w:rPr>
        <w:t>, International Federation of Arts Councils and Culture Agencies (IFACCA), 47 pp.</w:t>
      </w:r>
    </w:p>
    <w:p w:rsidR="00A927C0" w:rsidRPr="00536A73" w:rsidRDefault="00A927C0" w:rsidP="00795953">
      <w:pPr>
        <w:spacing w:line="360" w:lineRule="auto"/>
        <w:ind w:left="360"/>
        <w:rPr>
          <w:lang w:val="en-US"/>
        </w:rPr>
      </w:pPr>
    </w:p>
    <w:p w:rsidR="00A927C0" w:rsidRPr="00536A73" w:rsidRDefault="00A927C0" w:rsidP="00795953">
      <w:pPr>
        <w:spacing w:line="360" w:lineRule="auto"/>
        <w:ind w:left="360"/>
        <w:rPr>
          <w:lang w:val="en-US"/>
        </w:rPr>
      </w:pPr>
    </w:p>
    <w:p w:rsidR="00A927C0" w:rsidRPr="00536A73" w:rsidRDefault="00A927C0" w:rsidP="00795953">
      <w:pPr>
        <w:spacing w:line="360" w:lineRule="auto"/>
        <w:ind w:left="360"/>
        <w:rPr>
          <w:lang w:val="en-US"/>
        </w:rPr>
      </w:pPr>
    </w:p>
    <w:p w:rsidR="00A927C0" w:rsidRPr="00536A73" w:rsidRDefault="00A927C0" w:rsidP="00795953">
      <w:pPr>
        <w:spacing w:line="360" w:lineRule="auto"/>
        <w:ind w:left="360"/>
        <w:rPr>
          <w:lang w:val="en-US"/>
        </w:rPr>
      </w:pPr>
    </w:p>
    <w:p w:rsidR="008A7AED" w:rsidRPr="00536A73" w:rsidRDefault="008A7AED" w:rsidP="00795953">
      <w:pPr>
        <w:spacing w:line="360" w:lineRule="auto"/>
        <w:ind w:left="360"/>
        <w:rPr>
          <w:lang w:val="en-US"/>
        </w:rPr>
      </w:pPr>
    </w:p>
    <w:p w:rsidR="00A927C0" w:rsidRDefault="00A927C0" w:rsidP="00795953">
      <w:pPr>
        <w:spacing w:line="360" w:lineRule="auto"/>
        <w:ind w:left="360"/>
        <w:jc w:val="right"/>
      </w:pPr>
      <w:bookmarkStart w:id="0" w:name="_GoBack"/>
      <w:r>
        <w:t>Coordinación ejecutiva de asuntos especiales y asesoría cultural</w:t>
      </w:r>
    </w:p>
    <w:p w:rsidR="00A927C0" w:rsidRDefault="00A927C0" w:rsidP="00795953">
      <w:pPr>
        <w:spacing w:line="360" w:lineRule="auto"/>
        <w:ind w:left="360"/>
        <w:jc w:val="right"/>
      </w:pPr>
      <w:r>
        <w:t>29 de abril de 2019</w:t>
      </w:r>
    </w:p>
    <w:bookmarkEnd w:id="0"/>
    <w:p w:rsidR="006E799B" w:rsidRPr="00795953" w:rsidRDefault="006E799B" w:rsidP="00795953">
      <w:pPr>
        <w:spacing w:line="360" w:lineRule="auto"/>
        <w:rPr>
          <w:lang w:val="es-MX"/>
        </w:rPr>
      </w:pPr>
    </w:p>
    <w:sectPr w:rsidR="006E799B" w:rsidRPr="00795953" w:rsidSect="00742B81">
      <w:footerReference w:type="even" r:id="rId22"/>
      <w:footerReference w:type="default" r:id="rId23"/>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FE" w:rsidRDefault="001177FE">
      <w:pPr>
        <w:spacing w:after="0"/>
      </w:pPr>
      <w:r>
        <w:separator/>
      </w:r>
    </w:p>
  </w:endnote>
  <w:endnote w:type="continuationSeparator" w:id="0">
    <w:p w:rsidR="001177FE" w:rsidRDefault="001177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DF4" w:rsidRDefault="00B01DF4" w:rsidP="00D05C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1DF4" w:rsidRDefault="00B01DF4" w:rsidP="00D05CC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DF4" w:rsidRDefault="00B01DF4" w:rsidP="00D05C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6A73">
      <w:rPr>
        <w:rStyle w:val="Nmerodepgina"/>
        <w:noProof/>
      </w:rPr>
      <w:t>11</w:t>
    </w:r>
    <w:r>
      <w:rPr>
        <w:rStyle w:val="Nmerodepgina"/>
      </w:rPr>
      <w:fldChar w:fldCharType="end"/>
    </w:r>
  </w:p>
  <w:p w:rsidR="00B01DF4" w:rsidRDefault="00B01DF4" w:rsidP="00D05CC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FE" w:rsidRDefault="001177FE">
      <w:pPr>
        <w:spacing w:after="0"/>
      </w:pPr>
      <w:r>
        <w:separator/>
      </w:r>
    </w:p>
  </w:footnote>
  <w:footnote w:type="continuationSeparator" w:id="0">
    <w:p w:rsidR="001177FE" w:rsidRDefault="001177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3503"/>
    <w:multiLevelType w:val="hybridMultilevel"/>
    <w:tmpl w:val="C5641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A059CA"/>
    <w:multiLevelType w:val="hybridMultilevel"/>
    <w:tmpl w:val="AEFC8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506FE5"/>
    <w:multiLevelType w:val="hybridMultilevel"/>
    <w:tmpl w:val="DFD6B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0F5391"/>
    <w:multiLevelType w:val="hybridMultilevel"/>
    <w:tmpl w:val="3AF2D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F77FC7"/>
    <w:multiLevelType w:val="hybridMultilevel"/>
    <w:tmpl w:val="93A82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5C6CAA"/>
    <w:multiLevelType w:val="hybridMultilevel"/>
    <w:tmpl w:val="2F3EC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B4776A7"/>
    <w:multiLevelType w:val="hybridMultilevel"/>
    <w:tmpl w:val="F3DCC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23149A5"/>
    <w:multiLevelType w:val="hybridMultilevel"/>
    <w:tmpl w:val="E47E6320"/>
    <w:lvl w:ilvl="0" w:tplc="49803416">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95E6FC3"/>
    <w:multiLevelType w:val="hybridMultilevel"/>
    <w:tmpl w:val="CDAE4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9E10DD0"/>
    <w:multiLevelType w:val="hybridMultilevel"/>
    <w:tmpl w:val="3190F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C825EF7"/>
    <w:multiLevelType w:val="hybridMultilevel"/>
    <w:tmpl w:val="C25E3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5"/>
  </w:num>
  <w:num w:numId="6">
    <w:abstractNumId w:val="9"/>
  </w:num>
  <w:num w:numId="7">
    <w:abstractNumId w:val="1"/>
  </w:num>
  <w:num w:numId="8">
    <w:abstractNumId w:val="4"/>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4E"/>
    <w:rsid w:val="00007B79"/>
    <w:rsid w:val="0001010C"/>
    <w:rsid w:val="00023148"/>
    <w:rsid w:val="00024DAD"/>
    <w:rsid w:val="000B2202"/>
    <w:rsid w:val="000C3F13"/>
    <w:rsid w:val="000C60A3"/>
    <w:rsid w:val="000D362C"/>
    <w:rsid w:val="000D4B81"/>
    <w:rsid w:val="000F4996"/>
    <w:rsid w:val="00112732"/>
    <w:rsid w:val="001177FE"/>
    <w:rsid w:val="0013749E"/>
    <w:rsid w:val="00156F15"/>
    <w:rsid w:val="00157243"/>
    <w:rsid w:val="00173CC2"/>
    <w:rsid w:val="00175068"/>
    <w:rsid w:val="00190D9A"/>
    <w:rsid w:val="002002A4"/>
    <w:rsid w:val="00295AEA"/>
    <w:rsid w:val="002C17E1"/>
    <w:rsid w:val="00300BF6"/>
    <w:rsid w:val="003022C4"/>
    <w:rsid w:val="00311A54"/>
    <w:rsid w:val="00362905"/>
    <w:rsid w:val="00363D20"/>
    <w:rsid w:val="00375F59"/>
    <w:rsid w:val="00381973"/>
    <w:rsid w:val="0038279B"/>
    <w:rsid w:val="00393E85"/>
    <w:rsid w:val="00397367"/>
    <w:rsid w:val="003A027E"/>
    <w:rsid w:val="003D58EE"/>
    <w:rsid w:val="004468E5"/>
    <w:rsid w:val="00460751"/>
    <w:rsid w:val="004701B7"/>
    <w:rsid w:val="00470AB7"/>
    <w:rsid w:val="004852A3"/>
    <w:rsid w:val="004E2D9C"/>
    <w:rsid w:val="004F4F39"/>
    <w:rsid w:val="005130AC"/>
    <w:rsid w:val="00523427"/>
    <w:rsid w:val="0053639E"/>
    <w:rsid w:val="005366E7"/>
    <w:rsid w:val="00536A73"/>
    <w:rsid w:val="00546CFE"/>
    <w:rsid w:val="005511F4"/>
    <w:rsid w:val="005641A0"/>
    <w:rsid w:val="00572BE0"/>
    <w:rsid w:val="005D4939"/>
    <w:rsid w:val="005F3C87"/>
    <w:rsid w:val="00626AC1"/>
    <w:rsid w:val="00645EB6"/>
    <w:rsid w:val="00645F62"/>
    <w:rsid w:val="0065096D"/>
    <w:rsid w:val="006770C2"/>
    <w:rsid w:val="006B3DA8"/>
    <w:rsid w:val="006C7287"/>
    <w:rsid w:val="006D2C6C"/>
    <w:rsid w:val="006E0C05"/>
    <w:rsid w:val="006E1F82"/>
    <w:rsid w:val="006E799B"/>
    <w:rsid w:val="00720F67"/>
    <w:rsid w:val="00742B81"/>
    <w:rsid w:val="0074580F"/>
    <w:rsid w:val="00790668"/>
    <w:rsid w:val="00795953"/>
    <w:rsid w:val="007A275C"/>
    <w:rsid w:val="007C0C8A"/>
    <w:rsid w:val="007E5370"/>
    <w:rsid w:val="007F1DB1"/>
    <w:rsid w:val="007F731D"/>
    <w:rsid w:val="008004AE"/>
    <w:rsid w:val="008372D2"/>
    <w:rsid w:val="008607B9"/>
    <w:rsid w:val="00863031"/>
    <w:rsid w:val="008A23EA"/>
    <w:rsid w:val="008A7AED"/>
    <w:rsid w:val="008B4697"/>
    <w:rsid w:val="00930A82"/>
    <w:rsid w:val="00940572"/>
    <w:rsid w:val="0097176A"/>
    <w:rsid w:val="00981ABA"/>
    <w:rsid w:val="009A5BE2"/>
    <w:rsid w:val="009C1388"/>
    <w:rsid w:val="009D7337"/>
    <w:rsid w:val="00A25501"/>
    <w:rsid w:val="00A357B6"/>
    <w:rsid w:val="00A73A8E"/>
    <w:rsid w:val="00A87CDB"/>
    <w:rsid w:val="00A927C0"/>
    <w:rsid w:val="00AA7B1C"/>
    <w:rsid w:val="00AD3915"/>
    <w:rsid w:val="00AE176B"/>
    <w:rsid w:val="00B01DF4"/>
    <w:rsid w:val="00B07242"/>
    <w:rsid w:val="00B251F8"/>
    <w:rsid w:val="00B52080"/>
    <w:rsid w:val="00BA1E4E"/>
    <w:rsid w:val="00BB7CA0"/>
    <w:rsid w:val="00BC09C4"/>
    <w:rsid w:val="00BD2D53"/>
    <w:rsid w:val="00BE3E30"/>
    <w:rsid w:val="00C1378D"/>
    <w:rsid w:val="00C152FC"/>
    <w:rsid w:val="00C17692"/>
    <w:rsid w:val="00C41D02"/>
    <w:rsid w:val="00C44F98"/>
    <w:rsid w:val="00C551E7"/>
    <w:rsid w:val="00C56A6E"/>
    <w:rsid w:val="00CD141B"/>
    <w:rsid w:val="00CF6D52"/>
    <w:rsid w:val="00D05CC0"/>
    <w:rsid w:val="00D706D5"/>
    <w:rsid w:val="00D71502"/>
    <w:rsid w:val="00D91BAF"/>
    <w:rsid w:val="00D926F5"/>
    <w:rsid w:val="00DA7161"/>
    <w:rsid w:val="00DC261D"/>
    <w:rsid w:val="00DC668B"/>
    <w:rsid w:val="00DE2470"/>
    <w:rsid w:val="00DF2972"/>
    <w:rsid w:val="00E03A40"/>
    <w:rsid w:val="00E17E37"/>
    <w:rsid w:val="00E200F5"/>
    <w:rsid w:val="00E55958"/>
    <w:rsid w:val="00E60240"/>
    <w:rsid w:val="00E70A05"/>
    <w:rsid w:val="00E715C6"/>
    <w:rsid w:val="00E945FD"/>
    <w:rsid w:val="00ED0D3A"/>
    <w:rsid w:val="00ED390D"/>
    <w:rsid w:val="00EE714E"/>
    <w:rsid w:val="00F07B9E"/>
    <w:rsid w:val="00F256A4"/>
    <w:rsid w:val="00F44A55"/>
    <w:rsid w:val="00F456BC"/>
    <w:rsid w:val="00F46239"/>
    <w:rsid w:val="00F52CFD"/>
    <w:rsid w:val="00F57FF7"/>
    <w:rsid w:val="00FB0AEA"/>
    <w:rsid w:val="00FB41C6"/>
    <w:rsid w:val="00FC01BD"/>
    <w:rsid w:val="00FD2B91"/>
    <w:rsid w:val="00FD65CA"/>
    <w:rsid w:val="00FE1093"/>
    <w:rsid w:val="00FE4F1F"/>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2972"/>
    <w:pPr>
      <w:spacing w:line="276" w:lineRule="auto"/>
      <w:ind w:left="720"/>
      <w:contextualSpacing/>
    </w:pPr>
    <w:rPr>
      <w:sz w:val="22"/>
      <w:szCs w:val="22"/>
      <w:lang w:val="es-MX"/>
    </w:rPr>
  </w:style>
  <w:style w:type="paragraph" w:styleId="Piedepgina">
    <w:name w:val="footer"/>
    <w:basedOn w:val="Normal"/>
    <w:link w:val="PiedepginaCar"/>
    <w:uiPriority w:val="99"/>
    <w:semiHidden/>
    <w:unhideWhenUsed/>
    <w:rsid w:val="00D05CC0"/>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D05CC0"/>
    <w:rPr>
      <w:lang w:val="es-ES_tradnl"/>
    </w:rPr>
  </w:style>
  <w:style w:type="character" w:styleId="Nmerodepgina">
    <w:name w:val="page number"/>
    <w:basedOn w:val="Fuentedeprrafopredeter"/>
    <w:uiPriority w:val="99"/>
    <w:semiHidden/>
    <w:unhideWhenUsed/>
    <w:rsid w:val="00D05CC0"/>
  </w:style>
  <w:style w:type="paragraph" w:styleId="Textodeglobo">
    <w:name w:val="Balloon Text"/>
    <w:basedOn w:val="Normal"/>
    <w:link w:val="TextodegloboCar"/>
    <w:uiPriority w:val="99"/>
    <w:semiHidden/>
    <w:unhideWhenUsed/>
    <w:rsid w:val="008004A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4AE"/>
    <w:rPr>
      <w:rFonts w:ascii="Tahoma" w:hAnsi="Tahoma" w:cs="Tahoma"/>
      <w:sz w:val="16"/>
      <w:szCs w:val="16"/>
      <w:lang w:val="es-ES_tradnl"/>
    </w:rPr>
  </w:style>
  <w:style w:type="character" w:styleId="Hipervnculo">
    <w:name w:val="Hyperlink"/>
    <w:basedOn w:val="Fuentedeprrafopredeter"/>
    <w:uiPriority w:val="99"/>
    <w:rsid w:val="000C3F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2972"/>
    <w:pPr>
      <w:spacing w:line="276" w:lineRule="auto"/>
      <w:ind w:left="720"/>
      <w:contextualSpacing/>
    </w:pPr>
    <w:rPr>
      <w:sz w:val="22"/>
      <w:szCs w:val="22"/>
      <w:lang w:val="es-MX"/>
    </w:rPr>
  </w:style>
  <w:style w:type="paragraph" w:styleId="Piedepgina">
    <w:name w:val="footer"/>
    <w:basedOn w:val="Normal"/>
    <w:link w:val="PiedepginaCar"/>
    <w:uiPriority w:val="99"/>
    <w:semiHidden/>
    <w:unhideWhenUsed/>
    <w:rsid w:val="00D05CC0"/>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D05CC0"/>
    <w:rPr>
      <w:lang w:val="es-ES_tradnl"/>
    </w:rPr>
  </w:style>
  <w:style w:type="character" w:styleId="Nmerodepgina">
    <w:name w:val="page number"/>
    <w:basedOn w:val="Fuentedeprrafopredeter"/>
    <w:uiPriority w:val="99"/>
    <w:semiHidden/>
    <w:unhideWhenUsed/>
    <w:rsid w:val="00D05CC0"/>
  </w:style>
  <w:style w:type="paragraph" w:styleId="Textodeglobo">
    <w:name w:val="Balloon Text"/>
    <w:basedOn w:val="Normal"/>
    <w:link w:val="TextodegloboCar"/>
    <w:uiPriority w:val="99"/>
    <w:semiHidden/>
    <w:unhideWhenUsed/>
    <w:rsid w:val="008004A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4AE"/>
    <w:rPr>
      <w:rFonts w:ascii="Tahoma" w:hAnsi="Tahoma" w:cs="Tahoma"/>
      <w:sz w:val="16"/>
      <w:szCs w:val="16"/>
      <w:lang w:val="es-ES_tradnl"/>
    </w:rPr>
  </w:style>
  <w:style w:type="character" w:styleId="Hipervnculo">
    <w:name w:val="Hyperlink"/>
    <w:basedOn w:val="Fuentedeprrafopredeter"/>
    <w:uiPriority w:val="99"/>
    <w:rsid w:val="000C3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81551">
      <w:bodyDiv w:val="1"/>
      <w:marLeft w:val="0"/>
      <w:marRight w:val="0"/>
      <w:marTop w:val="0"/>
      <w:marBottom w:val="0"/>
      <w:divBdr>
        <w:top w:val="none" w:sz="0" w:space="0" w:color="auto"/>
        <w:left w:val="none" w:sz="0" w:space="0" w:color="auto"/>
        <w:bottom w:val="none" w:sz="0" w:space="0" w:color="auto"/>
        <w:right w:val="none" w:sz="0" w:space="0" w:color="auto"/>
      </w:divBdr>
    </w:div>
    <w:div w:id="1932663359">
      <w:bodyDiv w:val="1"/>
      <w:marLeft w:val="0"/>
      <w:marRight w:val="0"/>
      <w:marTop w:val="0"/>
      <w:marBottom w:val="0"/>
      <w:divBdr>
        <w:top w:val="none" w:sz="0" w:space="0" w:color="auto"/>
        <w:left w:val="none" w:sz="0" w:space="0" w:color="auto"/>
        <w:bottom w:val="none" w:sz="0" w:space="0" w:color="auto"/>
        <w:right w:val="none" w:sz="0" w:space="0" w:color="auto"/>
      </w:divBdr>
      <w:divsChild>
        <w:div w:id="1114640929">
          <w:marLeft w:val="0"/>
          <w:marRight w:val="0"/>
          <w:marTop w:val="0"/>
          <w:marBottom w:val="0"/>
          <w:divBdr>
            <w:top w:val="none" w:sz="0" w:space="0" w:color="auto"/>
            <w:left w:val="none" w:sz="0" w:space="0" w:color="auto"/>
            <w:bottom w:val="none" w:sz="0" w:space="0" w:color="auto"/>
            <w:right w:val="none" w:sz="0" w:space="0" w:color="auto"/>
          </w:divBdr>
        </w:div>
        <w:div w:id="2142772517">
          <w:marLeft w:val="0"/>
          <w:marRight w:val="0"/>
          <w:marTop w:val="0"/>
          <w:marBottom w:val="0"/>
          <w:divBdr>
            <w:top w:val="none" w:sz="0" w:space="0" w:color="auto"/>
            <w:left w:val="none" w:sz="0" w:space="0" w:color="auto"/>
            <w:bottom w:val="none" w:sz="0" w:space="0" w:color="auto"/>
            <w:right w:val="none" w:sz="0" w:space="0" w:color="auto"/>
          </w:divBdr>
        </w:div>
        <w:div w:id="715929534">
          <w:marLeft w:val="0"/>
          <w:marRight w:val="0"/>
          <w:marTop w:val="0"/>
          <w:marBottom w:val="0"/>
          <w:divBdr>
            <w:top w:val="none" w:sz="0" w:space="0" w:color="auto"/>
            <w:left w:val="none" w:sz="0" w:space="0" w:color="auto"/>
            <w:bottom w:val="none" w:sz="0" w:space="0" w:color="auto"/>
            <w:right w:val="none" w:sz="0" w:space="0" w:color="auto"/>
          </w:divBdr>
        </w:div>
        <w:div w:id="2131315833">
          <w:marLeft w:val="0"/>
          <w:marRight w:val="0"/>
          <w:marTop w:val="0"/>
          <w:marBottom w:val="0"/>
          <w:divBdr>
            <w:top w:val="none" w:sz="0" w:space="0" w:color="auto"/>
            <w:left w:val="none" w:sz="0" w:space="0" w:color="auto"/>
            <w:bottom w:val="none" w:sz="0" w:space="0" w:color="auto"/>
            <w:right w:val="none" w:sz="0" w:space="0" w:color="auto"/>
          </w:divBdr>
        </w:div>
        <w:div w:id="1434209206">
          <w:marLeft w:val="0"/>
          <w:marRight w:val="0"/>
          <w:marTop w:val="0"/>
          <w:marBottom w:val="0"/>
          <w:divBdr>
            <w:top w:val="none" w:sz="0" w:space="0" w:color="auto"/>
            <w:left w:val="none" w:sz="0" w:space="0" w:color="auto"/>
            <w:bottom w:val="none" w:sz="0" w:space="0" w:color="auto"/>
            <w:right w:val="none" w:sz="0" w:space="0" w:color="auto"/>
          </w:divBdr>
        </w:div>
        <w:div w:id="747920535">
          <w:marLeft w:val="0"/>
          <w:marRight w:val="0"/>
          <w:marTop w:val="0"/>
          <w:marBottom w:val="0"/>
          <w:divBdr>
            <w:top w:val="none" w:sz="0" w:space="0" w:color="auto"/>
            <w:left w:val="none" w:sz="0" w:space="0" w:color="auto"/>
            <w:bottom w:val="none" w:sz="0" w:space="0" w:color="auto"/>
            <w:right w:val="none" w:sz="0" w:space="0" w:color="auto"/>
          </w:divBdr>
        </w:div>
        <w:div w:id="866523017">
          <w:marLeft w:val="0"/>
          <w:marRight w:val="0"/>
          <w:marTop w:val="0"/>
          <w:marBottom w:val="0"/>
          <w:divBdr>
            <w:top w:val="none" w:sz="0" w:space="0" w:color="auto"/>
            <w:left w:val="none" w:sz="0" w:space="0" w:color="auto"/>
            <w:bottom w:val="none" w:sz="0" w:space="0" w:color="auto"/>
            <w:right w:val="none" w:sz="0" w:space="0" w:color="auto"/>
          </w:divBdr>
        </w:div>
        <w:div w:id="1672023660">
          <w:marLeft w:val="0"/>
          <w:marRight w:val="0"/>
          <w:marTop w:val="0"/>
          <w:marBottom w:val="0"/>
          <w:divBdr>
            <w:top w:val="none" w:sz="0" w:space="0" w:color="auto"/>
            <w:left w:val="none" w:sz="0" w:space="0" w:color="auto"/>
            <w:bottom w:val="none" w:sz="0" w:space="0" w:color="auto"/>
            <w:right w:val="none" w:sz="0" w:space="0" w:color="auto"/>
          </w:divBdr>
        </w:div>
        <w:div w:id="1299993839">
          <w:marLeft w:val="0"/>
          <w:marRight w:val="0"/>
          <w:marTop w:val="0"/>
          <w:marBottom w:val="0"/>
          <w:divBdr>
            <w:top w:val="none" w:sz="0" w:space="0" w:color="auto"/>
            <w:left w:val="none" w:sz="0" w:space="0" w:color="auto"/>
            <w:bottom w:val="none" w:sz="0" w:space="0" w:color="auto"/>
            <w:right w:val="none" w:sz="0" w:space="0" w:color="auto"/>
          </w:divBdr>
        </w:div>
        <w:div w:id="2106067960">
          <w:marLeft w:val="0"/>
          <w:marRight w:val="0"/>
          <w:marTop w:val="0"/>
          <w:marBottom w:val="0"/>
          <w:divBdr>
            <w:top w:val="none" w:sz="0" w:space="0" w:color="auto"/>
            <w:left w:val="none" w:sz="0" w:space="0" w:color="auto"/>
            <w:bottom w:val="none" w:sz="0" w:space="0" w:color="auto"/>
            <w:right w:val="none" w:sz="0" w:space="0" w:color="auto"/>
          </w:divBdr>
        </w:div>
        <w:div w:id="1175801308">
          <w:marLeft w:val="0"/>
          <w:marRight w:val="0"/>
          <w:marTop w:val="0"/>
          <w:marBottom w:val="0"/>
          <w:divBdr>
            <w:top w:val="none" w:sz="0" w:space="0" w:color="auto"/>
            <w:left w:val="none" w:sz="0" w:space="0" w:color="auto"/>
            <w:bottom w:val="none" w:sz="0" w:space="0" w:color="auto"/>
            <w:right w:val="none" w:sz="0" w:space="0" w:color="auto"/>
          </w:divBdr>
        </w:div>
        <w:div w:id="275790131">
          <w:marLeft w:val="0"/>
          <w:marRight w:val="0"/>
          <w:marTop w:val="0"/>
          <w:marBottom w:val="0"/>
          <w:divBdr>
            <w:top w:val="none" w:sz="0" w:space="0" w:color="auto"/>
            <w:left w:val="none" w:sz="0" w:space="0" w:color="auto"/>
            <w:bottom w:val="none" w:sz="0" w:space="0" w:color="auto"/>
            <w:right w:val="none" w:sz="0" w:space="0" w:color="auto"/>
          </w:divBdr>
        </w:div>
        <w:div w:id="4330243">
          <w:marLeft w:val="0"/>
          <w:marRight w:val="0"/>
          <w:marTop w:val="0"/>
          <w:marBottom w:val="0"/>
          <w:divBdr>
            <w:top w:val="none" w:sz="0" w:space="0" w:color="auto"/>
            <w:left w:val="none" w:sz="0" w:space="0" w:color="auto"/>
            <w:bottom w:val="none" w:sz="0" w:space="0" w:color="auto"/>
            <w:right w:val="none" w:sz="0" w:space="0" w:color="auto"/>
          </w:divBdr>
        </w:div>
        <w:div w:id="1635600976">
          <w:marLeft w:val="0"/>
          <w:marRight w:val="0"/>
          <w:marTop w:val="0"/>
          <w:marBottom w:val="0"/>
          <w:divBdr>
            <w:top w:val="none" w:sz="0" w:space="0" w:color="auto"/>
            <w:left w:val="none" w:sz="0" w:space="0" w:color="auto"/>
            <w:bottom w:val="none" w:sz="0" w:space="0" w:color="auto"/>
            <w:right w:val="none" w:sz="0" w:space="0" w:color="auto"/>
          </w:divBdr>
        </w:div>
        <w:div w:id="2005934663">
          <w:marLeft w:val="0"/>
          <w:marRight w:val="0"/>
          <w:marTop w:val="0"/>
          <w:marBottom w:val="0"/>
          <w:divBdr>
            <w:top w:val="none" w:sz="0" w:space="0" w:color="auto"/>
            <w:left w:val="none" w:sz="0" w:space="0" w:color="auto"/>
            <w:bottom w:val="none" w:sz="0" w:space="0" w:color="auto"/>
            <w:right w:val="none" w:sz="0" w:space="0" w:color="auto"/>
          </w:divBdr>
        </w:div>
        <w:div w:id="447163410">
          <w:marLeft w:val="0"/>
          <w:marRight w:val="0"/>
          <w:marTop w:val="0"/>
          <w:marBottom w:val="0"/>
          <w:divBdr>
            <w:top w:val="none" w:sz="0" w:space="0" w:color="auto"/>
            <w:left w:val="none" w:sz="0" w:space="0" w:color="auto"/>
            <w:bottom w:val="none" w:sz="0" w:space="0" w:color="auto"/>
            <w:right w:val="none" w:sz="0" w:space="0" w:color="auto"/>
          </w:divBdr>
        </w:div>
        <w:div w:id="1158305129">
          <w:marLeft w:val="0"/>
          <w:marRight w:val="0"/>
          <w:marTop w:val="0"/>
          <w:marBottom w:val="0"/>
          <w:divBdr>
            <w:top w:val="none" w:sz="0" w:space="0" w:color="auto"/>
            <w:left w:val="none" w:sz="0" w:space="0" w:color="auto"/>
            <w:bottom w:val="none" w:sz="0" w:space="0" w:color="auto"/>
            <w:right w:val="none" w:sz="0" w:space="0" w:color="auto"/>
          </w:divBdr>
        </w:div>
        <w:div w:id="794832824">
          <w:marLeft w:val="0"/>
          <w:marRight w:val="0"/>
          <w:marTop w:val="0"/>
          <w:marBottom w:val="0"/>
          <w:divBdr>
            <w:top w:val="none" w:sz="0" w:space="0" w:color="auto"/>
            <w:left w:val="none" w:sz="0" w:space="0" w:color="auto"/>
            <w:bottom w:val="none" w:sz="0" w:space="0" w:color="auto"/>
            <w:right w:val="none" w:sz="0" w:space="0" w:color="auto"/>
          </w:divBdr>
        </w:div>
        <w:div w:id="7829649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london.gov.uk/topic/art-and-culture" TargetMode="External"/><Relationship Id="rId18" Type="http://schemas.openxmlformats.org/officeDocument/2006/relationships/hyperlink" Target="https://www.ibe.org.uk/userassets/pressreleases/bb_culture_pr.pdf" TargetMode="External"/><Relationship Id="rId3" Type="http://schemas.openxmlformats.org/officeDocument/2006/relationships/styles" Target="styles.xml"/><Relationship Id="rId21" Type="http://schemas.openxmlformats.org/officeDocument/2006/relationships/hyperlink" Target="https://www.google.com/search?hl=es&amp;ei=317HXJLFHc2xggety4yoDw&amp;q=Importancia+de+los+Indicadores+Culturales+en+Costa+Rica&amp;oq=Importancia+de+los+Indicadores+Culturales+en+Costa+Rica&amp;gs_l=psy-ab.3..35i39.1560.1560..2337...0.0..0.314.314.3-1......0....1..gws-wiz.......0i71.bZI1YfZCDck" TargetMode="External"/><Relationship Id="rId7" Type="http://schemas.openxmlformats.org/officeDocument/2006/relationships/footnotes" Target="footnotes.xml"/><Relationship Id="rId12" Type="http://schemas.openxmlformats.org/officeDocument/2006/relationships/hyperlink" Target="http://www2.facso.uchile.cl/sociologia/1060225/docs/savage/cultural_map.pdf" TargetMode="External"/><Relationship Id="rId17" Type="http://schemas.openxmlformats.org/officeDocument/2006/relationships/hyperlink" Target="https://www.thealbany.org.uk/wp-content/uploads/2018/12/LBOC-Evaluation-Outcomes-and-Framework-CIA-Oct-1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xfordbibliographies.com/view/document/obo-9780199756384/obo-9780199756384-0135.xml" TargetMode="External"/><Relationship Id="rId20" Type="http://schemas.openxmlformats.org/officeDocument/2006/relationships/hyperlink" Target="http://www.culturarecreacionydeporte.gov.co/portal/sites/default/files/6.%20Indicadores%20de%20gestion%20cultur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tscouncil.org.uk/sites/default/files/download-file/Experimental_Culture_summary_150318.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rtscouncil.org.uk/sites/default/files/download-file/Contribution_arts_culture_industry_UK_economy.pdf" TargetMode="External"/><Relationship Id="rId23" Type="http://schemas.openxmlformats.org/officeDocument/2006/relationships/footer" Target="footer2.xml"/><Relationship Id="rId10" Type="http://schemas.openxmlformats.org/officeDocument/2006/relationships/hyperlink" Target="https://www.london.gov.uk/get-involved/culture-strategy-london" TargetMode="External"/><Relationship Id="rId19" Type="http://schemas.openxmlformats.org/officeDocument/2006/relationships/hyperlink" Target="https://ec.europa.eu/eurostat/web/culture/data" TargetMode="External"/><Relationship Id="rId4" Type="http://schemas.microsoft.com/office/2007/relationships/stylesWithEffects" Target="stylesWithEffects.xml"/><Relationship Id="rId9" Type="http://schemas.openxmlformats.org/officeDocument/2006/relationships/hyperlink" Target="https://ec.europa.eu/eurostat/statistics-explained/index.php/Main_Page" TargetMode="External"/><Relationship Id="rId14" Type="http://schemas.openxmlformats.org/officeDocument/2006/relationships/hyperlink" Target="https://www.artscouncil.org.uk/sites/default/files/download-file/Contribution_arts_culture_industry_UK_economy.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44001-1568-4A24-BA73-08D6708F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3104</Words>
  <Characters>17076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DOPSA S.A. DE C.V.</Company>
  <LinksUpToDate>false</LinksUpToDate>
  <CharactersWithSpaces>20140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Kaarina Vejar Amarillas</dc:creator>
  <cp:lastModifiedBy>Kaarina Vejar Amarillas</cp:lastModifiedBy>
  <cp:revision>5</cp:revision>
  <cp:lastPrinted>2019-04-29T21:12:00Z</cp:lastPrinted>
  <dcterms:created xsi:type="dcterms:W3CDTF">2019-04-29T21:04:00Z</dcterms:created>
  <dcterms:modified xsi:type="dcterms:W3CDTF">2019-05-01T04:24:00Z</dcterms:modified>
</cp:coreProperties>
</file>